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74" w:rsidRDefault="00012BD5">
      <w:pPr>
        <w:pStyle w:val="Nagwek1"/>
      </w:pPr>
      <w:r>
        <w:t xml:space="preserve">SEKCJA 1: Identyfikacja substancji/mieszaniny i identyfikacja przedsiębiorstwa </w:t>
      </w:r>
    </w:p>
    <w:p w:rsidR="006D1D74" w:rsidRDefault="00012BD5">
      <w:pPr>
        <w:spacing w:after="226" w:line="240" w:lineRule="auto"/>
        <w:ind w:left="0" w:right="0" w:firstLine="0"/>
      </w:pPr>
      <w:r>
        <w:rPr>
          <w:b/>
        </w:rPr>
        <w:t>1.1. Identyfikator produktu</w:t>
      </w:r>
      <w:r>
        <w:rPr>
          <w:b/>
        </w:rPr>
        <w:tab/>
      </w:r>
      <w:r>
        <w:rPr>
          <w:sz w:val="22"/>
        </w:rPr>
        <w:t xml:space="preserve">Power Wash żel antybakteryjny do dezynfekcji rąk </w:t>
      </w:r>
    </w:p>
    <w:p w:rsidR="006D1D74" w:rsidRDefault="00012BD5">
      <w:pPr>
        <w:spacing w:after="14" w:line="237" w:lineRule="auto"/>
      </w:pPr>
      <w:r>
        <w:rPr>
          <w:b/>
        </w:rPr>
        <w:t>1.2 . Istotne zidentyfikowane zastosowania substancji lub mieszaniny oraz zastosowania odradzane</w:t>
      </w:r>
    </w:p>
    <w:p w:rsidR="006D1D74" w:rsidRDefault="00012BD5">
      <w:pPr>
        <w:spacing w:after="225"/>
        <w:ind w:right="911"/>
      </w:pPr>
      <w:r>
        <w:t>Zastosowanie zidentyfikowane:</w:t>
      </w:r>
      <w:r>
        <w:tab/>
        <w:t>Płyn do dezynfekcji rąk o działaniu wirusobójczym i bakteriobójczym Do stosowania powszechnego Zastosowanie odradzane:</w:t>
      </w:r>
      <w:r>
        <w:tab/>
        <w:t>nie określono</w:t>
      </w:r>
    </w:p>
    <w:p w:rsidR="006D1D74" w:rsidRDefault="00012BD5">
      <w:pPr>
        <w:spacing w:after="14" w:line="237" w:lineRule="auto"/>
      </w:pPr>
      <w:r>
        <w:rPr>
          <w:b/>
        </w:rPr>
        <w:t>1.3 . Dane dotyczące dostawcy karty charakterystyki</w:t>
      </w:r>
    </w:p>
    <w:p w:rsidR="006D1D74" w:rsidRDefault="00012BD5" w:rsidP="00D5726B">
      <w:r>
        <w:rPr>
          <w:b/>
        </w:rPr>
        <w:t xml:space="preserve">Producent: </w:t>
      </w:r>
      <w:r>
        <w:rPr>
          <w:b/>
        </w:rPr>
        <w:tab/>
      </w:r>
    </w:p>
    <w:p w:rsidR="006D1D74" w:rsidRDefault="00012BD5">
      <w:r>
        <w:t>A</w:t>
      </w:r>
      <w:r>
        <w:t xml:space="preserve">dres e-mail osoby odpowiedzialnej za kartę charakterystyki: </w:t>
      </w:r>
      <w:bookmarkStart w:id="0" w:name="_GoBack"/>
      <w:bookmarkEnd w:id="0"/>
    </w:p>
    <w:p w:rsidR="006D1D74" w:rsidRDefault="00012BD5">
      <w:pPr>
        <w:spacing w:after="13" w:line="240" w:lineRule="auto"/>
        <w:ind w:left="0" w:right="0" w:firstLine="0"/>
      </w:pPr>
      <w:r>
        <w:t xml:space="preserve">             </w:t>
      </w:r>
      <w:r>
        <w:t xml:space="preserve">                                       </w:t>
      </w:r>
      <w:r>
        <w:tab/>
      </w:r>
      <w:r>
        <w:rPr>
          <w:b/>
        </w:rPr>
        <w:t xml:space="preserve"> </w:t>
      </w:r>
    </w:p>
    <w:p w:rsidR="006D1D74" w:rsidRDefault="00012BD5">
      <w:pPr>
        <w:spacing w:after="255"/>
      </w:pPr>
      <w:r>
        <w:rPr>
          <w:b/>
        </w:rPr>
        <w:t xml:space="preserve">1.4. Numer telefonu alarmowego </w:t>
      </w:r>
      <w:r>
        <w:t>112 (ogólny telefon alarmowy), 998 (straż pożarna), 999 (pogotowie medyczne);</w:t>
      </w:r>
    </w:p>
    <w:p w:rsidR="006D1D74" w:rsidRDefault="00012BD5">
      <w:pPr>
        <w:pStyle w:val="Nagwek1"/>
      </w:pPr>
      <w:r>
        <w:t xml:space="preserve">SEKCJA 2: Identyfikacja zagrożeń </w:t>
      </w:r>
    </w:p>
    <w:p w:rsidR="006D1D74" w:rsidRDefault="00012BD5">
      <w:pPr>
        <w:spacing w:after="14" w:line="237" w:lineRule="auto"/>
      </w:pPr>
      <w:r>
        <w:rPr>
          <w:b/>
        </w:rPr>
        <w:t>2.1. Klasyfikacja substancji lub mieszaniny</w:t>
      </w:r>
      <w:r>
        <w:t xml:space="preserve"> </w:t>
      </w:r>
    </w:p>
    <w:p w:rsidR="006D1D74" w:rsidRDefault="00012BD5">
      <w:pPr>
        <w:spacing w:after="0" w:line="237" w:lineRule="auto"/>
      </w:pPr>
      <w:r>
        <w:rPr>
          <w:u w:val="single" w:color="000000"/>
        </w:rPr>
        <w:t>Klasyfikacja wg 1272/2008</w:t>
      </w:r>
    </w:p>
    <w:p w:rsidR="006D1D74" w:rsidRDefault="00012BD5">
      <w:pPr>
        <w:spacing w:after="225"/>
      </w:pPr>
      <w:r>
        <w:t>Eye Irrit. 2; H319</w:t>
      </w:r>
    </w:p>
    <w:p w:rsidR="006D1D74" w:rsidRDefault="00012BD5">
      <w:pPr>
        <w:spacing w:after="14" w:line="237" w:lineRule="auto"/>
        <w:ind w:right="7279"/>
      </w:pPr>
      <w:r>
        <w:rPr>
          <w:b/>
        </w:rPr>
        <w:t xml:space="preserve">Zagrożenie dla zdrowia człowieka </w:t>
      </w:r>
      <w:r>
        <w:t xml:space="preserve">Działa drażniąco na oczy. </w:t>
      </w:r>
      <w:r>
        <w:rPr>
          <w:b/>
        </w:rPr>
        <w:t xml:space="preserve">Zagrożenie dla środowiska </w:t>
      </w:r>
      <w:r>
        <w:t>Brak.</w:t>
      </w:r>
    </w:p>
    <w:p w:rsidR="006D1D74" w:rsidRDefault="00012BD5">
      <w:pPr>
        <w:spacing w:after="225" w:line="237" w:lineRule="auto"/>
        <w:ind w:right="7038"/>
      </w:pPr>
      <w:r>
        <w:rPr>
          <w:b/>
        </w:rPr>
        <w:t xml:space="preserve">Zagrożenia fizyczne/chemiczne </w:t>
      </w:r>
      <w:r>
        <w:t>Brak.</w:t>
      </w:r>
    </w:p>
    <w:p w:rsidR="006D1D74" w:rsidRDefault="00012BD5">
      <w:pPr>
        <w:spacing w:after="14" w:line="237" w:lineRule="auto"/>
        <w:ind w:right="6741"/>
      </w:pPr>
      <w:r>
        <w:rPr>
          <w:b/>
        </w:rPr>
        <w:t>2.2 . Elementy oznakowania Piktogramy:</w:t>
      </w:r>
    </w:p>
    <w:p w:rsidR="006D1D74" w:rsidRDefault="00012BD5">
      <w:pPr>
        <w:spacing w:after="301" w:line="240" w:lineRule="auto"/>
        <w:ind w:left="0" w:right="0" w:firstLine="0"/>
      </w:pPr>
      <w:r>
        <w:rPr>
          <w:noProof/>
        </w:rPr>
        <w:drawing>
          <wp:inline distT="0" distB="0" distL="0" distR="0">
            <wp:extent cx="762000" cy="765175"/>
            <wp:effectExtent l="0" t="0" r="0" b="0"/>
            <wp:docPr id="6700" name="Picture 6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" name="Picture 67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D74" w:rsidRDefault="00012BD5">
      <w:pPr>
        <w:spacing w:after="293"/>
      </w:pPr>
      <w:r>
        <w:t xml:space="preserve">Hasło ostrzegawcze: </w:t>
      </w:r>
      <w:r>
        <w:rPr>
          <w:b/>
        </w:rPr>
        <w:t>Uwaga</w:t>
      </w:r>
    </w:p>
    <w:p w:rsidR="006D1D74" w:rsidRDefault="00012BD5">
      <w:pPr>
        <w:spacing w:after="257" w:line="237" w:lineRule="auto"/>
        <w:ind w:right="6383"/>
      </w:pPr>
      <w:r>
        <w:rPr>
          <w:b/>
        </w:rPr>
        <w:t xml:space="preserve">Zwroty wskazujące rodzaj zagrożenia: H319 – </w:t>
      </w:r>
      <w:r>
        <w:t>działa drażniąco na oczy</w:t>
      </w:r>
    </w:p>
    <w:p w:rsidR="006D1D74" w:rsidRDefault="00012BD5">
      <w:pPr>
        <w:spacing w:after="14" w:line="237" w:lineRule="auto"/>
      </w:pPr>
      <w:r>
        <w:rPr>
          <w:b/>
        </w:rPr>
        <w:t>Zwroty określające środki ostrożności:</w:t>
      </w:r>
    </w:p>
    <w:p w:rsidR="006D1D74" w:rsidRDefault="00012BD5">
      <w:r>
        <w:rPr>
          <w:b/>
        </w:rPr>
        <w:t xml:space="preserve">P102 – </w:t>
      </w:r>
      <w:r>
        <w:t>chronić przed dziećmi</w:t>
      </w:r>
    </w:p>
    <w:p w:rsidR="006D1D74" w:rsidRDefault="00012BD5">
      <w:r>
        <w:rPr>
          <w:b/>
        </w:rPr>
        <w:t>P305 + P351 + P338 –</w:t>
      </w:r>
      <w:r>
        <w:t xml:space="preserve"> W PRZYPADKU DOSTANIA SIĘ DO OCZU: Ostrożnie płukać wodą przez kilka minut. Wyjąć soczewki kontakto</w:t>
      </w:r>
      <w:r>
        <w:t>we, jeżeli są i można je łatwo usunąć. Nadal płukać.</w:t>
      </w:r>
    </w:p>
    <w:p w:rsidR="006D1D74" w:rsidRDefault="00012BD5">
      <w:pPr>
        <w:spacing w:after="225"/>
      </w:pPr>
      <w:r>
        <w:rPr>
          <w:b/>
        </w:rPr>
        <w:t>P337 + P313</w:t>
      </w:r>
      <w:r>
        <w:t xml:space="preserve"> – W przypadku utrzymywania się działania drażniącego na oczy: Zasięgnąć porady/zgłosić się pod opiekę lekarza</w:t>
      </w:r>
    </w:p>
    <w:p w:rsidR="006D1D74" w:rsidRDefault="00012BD5">
      <w:pPr>
        <w:spacing w:after="225"/>
      </w:pPr>
      <w:r>
        <w:rPr>
          <w:b/>
        </w:rPr>
        <w:t xml:space="preserve">Substancje czynne: </w:t>
      </w:r>
      <w:r>
        <w:t>Nadtlenek wodoru 5,5g/100g</w:t>
      </w:r>
    </w:p>
    <w:p w:rsidR="006D1D74" w:rsidRDefault="00012BD5">
      <w:r>
        <w:rPr>
          <w:b/>
        </w:rPr>
        <w:t>Ingrediens:</w:t>
      </w:r>
      <w:r>
        <w:t xml:space="preserve"> Aqua, Sodium Laureth Su</w:t>
      </w:r>
      <w:r>
        <w:t>lfate, Sodium Chloride, Cocoamidpropyl Betaine, Glycerin, Stabilized Hydrogen</w:t>
      </w:r>
    </w:p>
    <w:p w:rsidR="006D1D74" w:rsidRDefault="00012BD5">
      <w:r>
        <w:t xml:space="preserve">Peroxide, Citric Acid, Parfume (BUTYL PHENYL METHYL, CITRONELLOL, LINALOOL), Preservatives </w:t>
      </w:r>
    </w:p>
    <w:p w:rsidR="006D1D74" w:rsidRDefault="00012BD5">
      <w:r>
        <w:t>( METHYLCHLOROISOTHIAZOLINONE, METHYLISOTHIAZOLINONE )</w:t>
      </w:r>
    </w:p>
    <w:p w:rsidR="006D1D74" w:rsidRDefault="00012BD5">
      <w:pPr>
        <w:spacing w:after="14" w:line="237" w:lineRule="auto"/>
      </w:pPr>
      <w:r>
        <w:rPr>
          <w:b/>
        </w:rPr>
        <w:t>2.3 . Inne zagrożenia</w:t>
      </w:r>
    </w:p>
    <w:p w:rsidR="006D1D74" w:rsidRDefault="00012BD5">
      <w:pPr>
        <w:spacing w:after="255"/>
      </w:pPr>
      <w:r>
        <w:t xml:space="preserve">Mieszanina nie zawiera substancji spełniających kryteria PBT lub vPvB zgodnie z załącznikiem XIII rozporządzenia REACH. </w:t>
      </w:r>
    </w:p>
    <w:p w:rsidR="006D1D74" w:rsidRDefault="00012BD5">
      <w:pPr>
        <w:pStyle w:val="Nagwek1"/>
      </w:pPr>
      <w:r>
        <w:lastRenderedPageBreak/>
        <w:t xml:space="preserve">SEKCJA 3: Skład/informacja o składnikach </w:t>
      </w:r>
    </w:p>
    <w:p w:rsidR="006D1D74" w:rsidRDefault="00012BD5">
      <w:pPr>
        <w:spacing w:after="225" w:line="237" w:lineRule="auto"/>
        <w:ind w:right="8659"/>
      </w:pPr>
      <w:r>
        <w:rPr>
          <w:b/>
        </w:rPr>
        <w:t xml:space="preserve">3.1 .  Substancje </w:t>
      </w:r>
      <w:r>
        <w:t>Nie dotyczy</w:t>
      </w:r>
    </w:p>
    <w:p w:rsidR="006D1D74" w:rsidRDefault="00012BD5">
      <w:pPr>
        <w:spacing w:after="14" w:line="237" w:lineRule="auto"/>
      </w:pPr>
      <w:r>
        <w:rPr>
          <w:b/>
        </w:rPr>
        <w:t>3.2 . Mieszaniny</w:t>
      </w:r>
    </w:p>
    <w:p w:rsidR="006D1D74" w:rsidRDefault="00012BD5">
      <w:r>
        <w:t>Niebezpieczne składniki:</w:t>
      </w:r>
    </w:p>
    <w:tbl>
      <w:tblPr>
        <w:tblStyle w:val="TableGrid"/>
        <w:tblW w:w="10374" w:type="dxa"/>
        <w:tblInd w:w="-1" w:type="dxa"/>
        <w:tblCellMar>
          <w:top w:w="0" w:type="dxa"/>
          <w:left w:w="71" w:type="dxa"/>
          <w:bottom w:w="0" w:type="dxa"/>
          <w:right w:w="443" w:type="dxa"/>
        </w:tblCellMar>
        <w:tblLook w:val="04A0" w:firstRow="1" w:lastRow="0" w:firstColumn="1" w:lastColumn="0" w:noHBand="0" w:noVBand="1"/>
      </w:tblPr>
      <w:tblGrid>
        <w:gridCol w:w="3970"/>
        <w:gridCol w:w="1700"/>
        <w:gridCol w:w="2128"/>
        <w:gridCol w:w="2576"/>
      </w:tblGrid>
      <w:tr w:rsidR="006D1D74">
        <w:trPr>
          <w:trHeight w:val="24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38" w:right="0" w:firstLine="0"/>
            </w:pPr>
            <w:r>
              <w:rPr>
                <w:b/>
              </w:rPr>
              <w:t>Identyfikator produktu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Zawartość</w:t>
            </w:r>
          </w:p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Klasyfikacja CLP</w:t>
            </w:r>
          </w:p>
        </w:tc>
      </w:tr>
      <w:tr w:rsidR="006D1D74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38" w:right="0" w:firstLine="0"/>
            </w:pPr>
            <w:r>
              <w:rPr>
                <w:b/>
              </w:rPr>
              <w:t>Klasa zagrożenia i kody kategorii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38" w:right="48" w:firstLine="0"/>
              <w:jc w:val="both"/>
            </w:pPr>
            <w:r>
              <w:rPr>
                <w:b/>
              </w:rPr>
              <w:t>Kody zwrotów wskazujących rodzaj zagrożenia</w:t>
            </w:r>
          </w:p>
        </w:tc>
      </w:tr>
      <w:tr w:rsidR="006D1D74">
        <w:trPr>
          <w:trHeight w:val="14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40" w:lineRule="auto"/>
              <w:ind w:left="0" w:right="0" w:firstLine="0"/>
            </w:pPr>
            <w:r>
              <w:t>Nadtlenek wodoru*</w:t>
            </w:r>
          </w:p>
          <w:p w:rsidR="006D1D74" w:rsidRDefault="00012BD5">
            <w:pPr>
              <w:spacing w:after="0" w:line="240" w:lineRule="auto"/>
              <w:ind w:left="0" w:right="0" w:firstLine="0"/>
            </w:pPr>
            <w:r>
              <w:t>CAS: 7722-84-1</w:t>
            </w:r>
          </w:p>
          <w:p w:rsidR="006D1D74" w:rsidRDefault="00012BD5">
            <w:pPr>
              <w:spacing w:after="0" w:line="240" w:lineRule="auto"/>
              <w:ind w:left="0" w:right="0" w:firstLine="0"/>
            </w:pPr>
            <w:r>
              <w:t>WE: 231-765-0</w:t>
            </w:r>
          </w:p>
          <w:p w:rsidR="006D1D74" w:rsidRDefault="00012BD5">
            <w:pPr>
              <w:spacing w:after="0" w:line="240" w:lineRule="auto"/>
              <w:ind w:left="0" w:right="0" w:firstLine="0"/>
            </w:pPr>
            <w:r>
              <w:t>Nr indeksowy: 008-003-00-9</w:t>
            </w:r>
          </w:p>
          <w:p w:rsidR="006D1D74" w:rsidRDefault="00012BD5">
            <w:pPr>
              <w:spacing w:after="0" w:line="276" w:lineRule="auto"/>
              <w:ind w:left="0" w:right="0" w:firstLine="0"/>
            </w:pPr>
            <w:r>
              <w:t>Nr REACH: 01-2119485845-22-XXXX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5 , 5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40" w:lineRule="auto"/>
              <w:ind w:left="0" w:right="0" w:firstLine="0"/>
            </w:pPr>
            <w:r>
              <w:t>Ox. Liq. 1</w:t>
            </w:r>
          </w:p>
          <w:p w:rsidR="006D1D74" w:rsidRDefault="00012BD5">
            <w:pPr>
              <w:spacing w:after="0" w:line="240" w:lineRule="auto"/>
              <w:ind w:left="0" w:right="0" w:firstLine="0"/>
            </w:pPr>
            <w:r>
              <w:t>Skin Corr. 1A</w:t>
            </w:r>
          </w:p>
          <w:p w:rsidR="006D1D74" w:rsidRDefault="00012BD5">
            <w:pPr>
              <w:spacing w:after="0" w:line="240" w:lineRule="auto"/>
              <w:ind w:left="0" w:right="0" w:firstLine="0"/>
            </w:pPr>
            <w:r>
              <w:t>Acute Tox. 4</w:t>
            </w:r>
          </w:p>
          <w:p w:rsidR="006D1D74" w:rsidRDefault="00012BD5">
            <w:pPr>
              <w:spacing w:after="0" w:line="276" w:lineRule="auto"/>
              <w:ind w:left="0" w:right="0" w:firstLine="0"/>
            </w:pPr>
            <w:r>
              <w:t>Acute Tox. 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40" w:lineRule="auto"/>
              <w:ind w:left="0" w:right="0" w:firstLine="0"/>
            </w:pPr>
            <w:r>
              <w:t>H271</w:t>
            </w:r>
          </w:p>
          <w:p w:rsidR="006D1D74" w:rsidRDefault="00012BD5">
            <w:pPr>
              <w:spacing w:after="0" w:line="240" w:lineRule="auto"/>
              <w:ind w:left="0" w:right="0" w:firstLine="0"/>
            </w:pPr>
            <w:r>
              <w:t>H314</w:t>
            </w:r>
          </w:p>
          <w:p w:rsidR="006D1D74" w:rsidRDefault="00012BD5">
            <w:pPr>
              <w:spacing w:after="0" w:line="240" w:lineRule="auto"/>
              <w:ind w:left="0" w:right="0" w:firstLine="0"/>
            </w:pPr>
            <w:r>
              <w:t>H302</w:t>
            </w:r>
          </w:p>
          <w:p w:rsidR="006D1D74" w:rsidRDefault="00012BD5">
            <w:pPr>
              <w:spacing w:after="0" w:line="276" w:lineRule="auto"/>
              <w:ind w:left="0" w:right="0" w:firstLine="0"/>
            </w:pPr>
            <w:r>
              <w:t>H332</w:t>
            </w:r>
          </w:p>
        </w:tc>
      </w:tr>
      <w:tr w:rsidR="006D1D74">
        <w:trPr>
          <w:trHeight w:val="25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38" w:right="0" w:firstLine="0"/>
            </w:pPr>
            <w:r>
              <w:t xml:space="preserve">Sól sodowa kwasu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</w:tr>
      <w:tr w:rsidR="006D1D74">
        <w:trPr>
          <w:trHeight w:val="116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38" w:right="0" w:firstLine="0"/>
            </w:pPr>
            <w:r>
              <w:t>lauryloetoksysiarkowego</w:t>
            </w:r>
          </w:p>
          <w:p w:rsidR="006D1D74" w:rsidRDefault="00012BD5">
            <w:pPr>
              <w:spacing w:after="0" w:line="240" w:lineRule="auto"/>
              <w:ind w:left="38" w:right="0" w:firstLine="0"/>
            </w:pPr>
            <w:r>
              <w:t>CAS: 68891-38-3</w:t>
            </w:r>
          </w:p>
          <w:p w:rsidR="006D1D74" w:rsidRDefault="00012BD5">
            <w:pPr>
              <w:spacing w:after="0" w:line="240" w:lineRule="auto"/>
              <w:ind w:left="38" w:right="0" w:firstLine="0"/>
            </w:pPr>
            <w:r>
              <w:t>WE: 500-234-8</w:t>
            </w:r>
          </w:p>
          <w:p w:rsidR="006D1D74" w:rsidRDefault="00012BD5">
            <w:pPr>
              <w:spacing w:after="0" w:line="240" w:lineRule="auto"/>
              <w:ind w:left="38" w:right="0" w:firstLine="0"/>
            </w:pPr>
            <w:r>
              <w:t>Nr indeksowy: -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Nr REACH: 01-2119488639-16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&lt;3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38" w:right="0" w:firstLine="0"/>
            </w:pPr>
            <w:r>
              <w:t>Skin Irrit.2</w:t>
            </w:r>
          </w:p>
          <w:p w:rsidR="006D1D74" w:rsidRDefault="00012BD5">
            <w:pPr>
              <w:spacing w:after="0" w:line="240" w:lineRule="auto"/>
              <w:ind w:left="38" w:right="0" w:firstLine="0"/>
            </w:pPr>
            <w:r>
              <w:t>Eye Dam. 1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Aquatic Chronic 3</w:t>
            </w:r>
          </w:p>
        </w:tc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38" w:right="0" w:firstLine="0"/>
            </w:pPr>
            <w:r>
              <w:t>H315</w:t>
            </w:r>
          </w:p>
          <w:p w:rsidR="006D1D74" w:rsidRDefault="00012BD5">
            <w:pPr>
              <w:spacing w:after="0" w:line="240" w:lineRule="auto"/>
              <w:ind w:left="38" w:right="0" w:firstLine="0"/>
            </w:pPr>
            <w:r>
              <w:t>H318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H412</w:t>
            </w:r>
          </w:p>
        </w:tc>
      </w:tr>
      <w:tr w:rsidR="006D1D74">
        <w:trPr>
          <w:trHeight w:val="3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D1D74" w:rsidRDefault="00012BD5">
            <w:pPr>
              <w:spacing w:after="0" w:line="276" w:lineRule="auto"/>
              <w:ind w:left="38" w:right="0" w:firstLine="0"/>
            </w:pPr>
            <w:r>
              <w:t>Betaina kokosowa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</w:tr>
      <w:tr w:rsidR="006D1D74">
        <w:trPr>
          <w:trHeight w:val="104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34" w:lineRule="auto"/>
              <w:ind w:left="38" w:right="2074" w:firstLine="0"/>
              <w:jc w:val="both"/>
            </w:pPr>
            <w:r>
              <w:t>CAS: WE: 931-513-6</w:t>
            </w:r>
          </w:p>
          <w:p w:rsidR="006D1D74" w:rsidRDefault="00012BD5">
            <w:pPr>
              <w:spacing w:after="0" w:line="240" w:lineRule="auto"/>
              <w:ind w:left="38" w:right="0" w:firstLine="0"/>
            </w:pPr>
            <w:r>
              <w:t>Nr indeksowy: -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Nr REACH: 01-2119513359-38- XXXX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&lt;2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38" w:right="0" w:firstLine="0"/>
            </w:pPr>
            <w:r>
              <w:t>Eye Dam. 1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Aquatic Chronic 3</w:t>
            </w:r>
          </w:p>
        </w:tc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38" w:right="0" w:firstLine="0"/>
            </w:pPr>
            <w:r>
              <w:t>H318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H412</w:t>
            </w:r>
          </w:p>
        </w:tc>
      </w:tr>
      <w:tr w:rsidR="006D1D74">
        <w:trPr>
          <w:trHeight w:val="48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38" w:right="0" w:firstLine="0"/>
            </w:pPr>
            <w:r>
              <w:t>Gliceryna*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CAS: 56-81-5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</w:tr>
      <w:tr w:rsidR="006D1D74">
        <w:trPr>
          <w:trHeight w:val="93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38" w:right="0" w:firstLine="0"/>
            </w:pPr>
            <w:r>
              <w:t>WE: 200-289-5</w:t>
            </w:r>
          </w:p>
          <w:p w:rsidR="006D1D74" w:rsidRDefault="00012BD5">
            <w:pPr>
              <w:spacing w:after="0" w:line="240" w:lineRule="auto"/>
              <w:ind w:left="38" w:right="0" w:firstLine="0"/>
            </w:pPr>
            <w:r>
              <w:t>Nr indeksowy: -</w:t>
            </w:r>
          </w:p>
          <w:p w:rsidR="006D1D74" w:rsidRDefault="00012BD5">
            <w:pPr>
              <w:spacing w:after="0" w:line="276" w:lineRule="auto"/>
              <w:ind w:left="38" w:right="0" w:firstLine="0"/>
            </w:pPr>
            <w:r>
              <w:t>Nr REACH: nie dotyczy – zwolnienie zgodnie z art. 2, ust. 7, lit. B (zał. V)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&lt;3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38" w:right="0" w:firstLine="0"/>
            </w:pPr>
            <w:r>
              <w:t>-</w:t>
            </w:r>
          </w:p>
        </w:tc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38" w:right="0" w:firstLine="0"/>
            </w:pPr>
            <w:r>
              <w:t>-</w:t>
            </w:r>
          </w:p>
        </w:tc>
      </w:tr>
    </w:tbl>
    <w:p w:rsidR="006D1D74" w:rsidRDefault="00012BD5">
      <w:r>
        <w:t xml:space="preserve"> Pełna treść zwrotów H w sekcji 16 </w:t>
      </w:r>
    </w:p>
    <w:p w:rsidR="006D1D74" w:rsidRDefault="00012BD5">
      <w:pPr>
        <w:spacing w:after="254"/>
      </w:pPr>
      <w:r>
        <w:t>*substancje z określoną wartością NDS</w:t>
      </w:r>
    </w:p>
    <w:p w:rsidR="006D1D74" w:rsidRDefault="00012BD5">
      <w:pPr>
        <w:pStyle w:val="Nagwek1"/>
      </w:pPr>
      <w:r>
        <w:t>SEKCJA 4: Środki pierwszej pomocy</w:t>
      </w:r>
    </w:p>
    <w:p w:rsidR="006D1D74" w:rsidRDefault="00012BD5">
      <w:pPr>
        <w:spacing w:after="14" w:line="237" w:lineRule="auto"/>
        <w:ind w:right="6792"/>
      </w:pPr>
      <w:r>
        <w:rPr>
          <w:b/>
        </w:rPr>
        <w:t xml:space="preserve">4.1 . Opis środków pierwszej pomocy W przypadku kontaktu ze skórą: </w:t>
      </w:r>
    </w:p>
    <w:p w:rsidR="006D1D74" w:rsidRDefault="00012BD5">
      <w:r>
        <w:t>Nie dotyczy.</w:t>
      </w:r>
    </w:p>
    <w:p w:rsidR="006D1D74" w:rsidRDefault="00012BD5">
      <w:pPr>
        <w:spacing w:after="14" w:line="237" w:lineRule="auto"/>
      </w:pPr>
      <w:r>
        <w:rPr>
          <w:b/>
        </w:rPr>
        <w:t>W przypadku kontaktu z oczami:</w:t>
      </w:r>
    </w:p>
    <w:p w:rsidR="006D1D74" w:rsidRDefault="00012BD5">
      <w:pPr>
        <w:spacing w:after="0" w:line="234" w:lineRule="auto"/>
        <w:ind w:right="4"/>
        <w:jc w:val="both"/>
      </w:pPr>
      <w:r>
        <w:t>Przepłukać oczy przez kilkanaście minut (ok. 15) dużą ilością wody, trzymając powieki szeroko rozwarte. Unikać silnego strumienia, ze względu na</w:t>
      </w:r>
      <w:r>
        <w:t xml:space="preserve"> niebezpieczeństwo uszkodzenia rogówki. Natychmiast skonsultować się z lekarzem.</w:t>
      </w:r>
    </w:p>
    <w:p w:rsidR="006D1D74" w:rsidRDefault="00012BD5">
      <w:pPr>
        <w:spacing w:after="14" w:line="237" w:lineRule="auto"/>
      </w:pPr>
      <w:r>
        <w:rPr>
          <w:b/>
        </w:rPr>
        <w:t xml:space="preserve">Narażenie inhalacyjne: </w:t>
      </w:r>
    </w:p>
    <w:p w:rsidR="006D1D74" w:rsidRDefault="00012BD5">
      <w:r>
        <w:t>Nie dotyczy.</w:t>
      </w:r>
    </w:p>
    <w:p w:rsidR="006D1D74" w:rsidRDefault="00012BD5">
      <w:pPr>
        <w:spacing w:after="14" w:line="237" w:lineRule="auto"/>
      </w:pPr>
      <w:r>
        <w:rPr>
          <w:b/>
        </w:rPr>
        <w:t>W przypadku połknięcia:</w:t>
      </w:r>
    </w:p>
    <w:p w:rsidR="006D1D74" w:rsidRDefault="00012BD5">
      <w:pPr>
        <w:spacing w:after="225"/>
      </w:pPr>
      <w:r>
        <w:t>Skontaktować się z lekarzem. Nie podawać niczego doustnie osobie nieprzytomnej</w:t>
      </w:r>
    </w:p>
    <w:p w:rsidR="006D1D74" w:rsidRDefault="00012BD5">
      <w:pPr>
        <w:spacing w:after="14" w:line="237" w:lineRule="auto"/>
        <w:ind w:right="3499"/>
      </w:pPr>
      <w:r>
        <w:rPr>
          <w:b/>
        </w:rPr>
        <w:t>4.2 . Najważniejsze ostre i opóźnio</w:t>
      </w:r>
      <w:r>
        <w:rPr>
          <w:b/>
        </w:rPr>
        <w:t xml:space="preserve">ne objawy oraz skutki narażenia </w:t>
      </w:r>
      <w:r>
        <w:t>Możliwe podrażnienia oczu w bezpośrednim kontakcie.</w:t>
      </w:r>
    </w:p>
    <w:p w:rsidR="006D1D74" w:rsidRDefault="00012BD5">
      <w:pPr>
        <w:spacing w:after="14" w:line="237" w:lineRule="auto"/>
      </w:pPr>
      <w:r>
        <w:rPr>
          <w:b/>
        </w:rPr>
        <w:t>4.3. Wskazania dotyczące wszelkiej natychmiastowej pomocy lekarskiej i szczególnego postępowania z poszkodowanym</w:t>
      </w:r>
    </w:p>
    <w:p w:rsidR="006D1D74" w:rsidRDefault="00012BD5">
      <w:r>
        <w:t>Leczenie objawowe.</w:t>
      </w:r>
    </w:p>
    <w:p w:rsidR="006D1D74" w:rsidRDefault="00012BD5">
      <w:pPr>
        <w:spacing w:after="254"/>
      </w:pPr>
      <w:r>
        <w:lastRenderedPageBreak/>
        <w:t xml:space="preserve">Decyzję o sposobie postępowania podejmuje lekarz po ocenie stanu poszkodowanego. </w:t>
      </w:r>
    </w:p>
    <w:p w:rsidR="006D1D74" w:rsidRDefault="00012BD5">
      <w:pPr>
        <w:pStyle w:val="Nagwek1"/>
      </w:pPr>
      <w:r>
        <w:t>SEKCJA 5: Postępowanie w przypadku pożaru</w:t>
      </w:r>
    </w:p>
    <w:p w:rsidR="006D1D74" w:rsidRDefault="00012BD5">
      <w:pPr>
        <w:spacing w:after="14" w:line="237" w:lineRule="auto"/>
      </w:pPr>
      <w:r>
        <w:rPr>
          <w:b/>
        </w:rPr>
        <w:t>5.1 . Środki gaśnicze</w:t>
      </w:r>
    </w:p>
    <w:p w:rsidR="006D1D74" w:rsidRDefault="00012BD5">
      <w:pPr>
        <w:spacing w:after="240" w:line="234" w:lineRule="auto"/>
        <w:ind w:right="4"/>
        <w:jc w:val="both"/>
      </w:pPr>
      <w:r>
        <w:rPr>
          <w:b/>
        </w:rPr>
        <w:t>Odpowiednie środki gaśnicze:</w:t>
      </w:r>
      <w:r>
        <w:t xml:space="preserve"> piana alkoholoodporna lub suche proszki gaśnicze, dwutlenek węgla (gaśnica śniego</w:t>
      </w:r>
      <w:r>
        <w:t xml:space="preserve">wa), mgła wodna. Stosować metody gaśnicze odpowiednie do warunków otoczenia. </w:t>
      </w:r>
      <w:r>
        <w:rPr>
          <w:b/>
        </w:rPr>
        <w:t>Niewłaściwe środki gaśnicze:</w:t>
      </w:r>
      <w:r>
        <w:t xml:space="preserve">  Silny strumień wody.</w:t>
      </w:r>
    </w:p>
    <w:p w:rsidR="006D1D74" w:rsidRDefault="00012BD5">
      <w:pPr>
        <w:spacing w:after="225" w:line="237" w:lineRule="auto"/>
        <w:ind w:right="3776"/>
      </w:pPr>
      <w:r>
        <w:rPr>
          <w:b/>
        </w:rPr>
        <w:t xml:space="preserve">5.2 . Szczególne zagrożenia związane z substancją lub mieszaniną </w:t>
      </w:r>
      <w:r>
        <w:t>Brak.</w:t>
      </w:r>
    </w:p>
    <w:p w:rsidR="006D1D74" w:rsidRDefault="00012BD5">
      <w:pPr>
        <w:spacing w:after="14" w:line="237" w:lineRule="auto"/>
      </w:pPr>
      <w:r>
        <w:rPr>
          <w:b/>
        </w:rPr>
        <w:t>5.3 . Informacje dla straży pożarnej</w:t>
      </w:r>
    </w:p>
    <w:p w:rsidR="006D1D74" w:rsidRDefault="00012BD5">
      <w:pPr>
        <w:spacing w:after="240" w:line="234" w:lineRule="auto"/>
        <w:ind w:right="4"/>
        <w:jc w:val="both"/>
      </w:pPr>
      <w:r>
        <w:t>Pojemniki znajdujące</w:t>
      </w:r>
      <w:r>
        <w:t xml:space="preserve"> się w strefie pożaru chłodzić rozproszonym strumieniem wody, o ile jest to możliwe usunąć ze strefy zagrożenia</w:t>
      </w:r>
      <w:r>
        <w:rPr>
          <w:color w:val="0000FF"/>
        </w:rPr>
        <w:t xml:space="preserve">. </w:t>
      </w:r>
      <w:r>
        <w:t>W przypadku pożaru w zamkniętym pomieszczeniu należy stosować odzież ochronną i aparat oddechowy na sprężone powietrze</w:t>
      </w:r>
      <w:r>
        <w:rPr>
          <w:sz w:val="22"/>
        </w:rPr>
        <w:t>.</w:t>
      </w:r>
      <w:r>
        <w:t xml:space="preserve"> Nie dopuszczać do przed</w:t>
      </w:r>
      <w:r>
        <w:t xml:space="preserve">ostania się wody gaśniczej do wód powierzchniowych, gruntowych i kanalizacji. </w:t>
      </w:r>
    </w:p>
    <w:p w:rsidR="006D1D74" w:rsidRDefault="00012BD5">
      <w:pPr>
        <w:pStyle w:val="Nagwek1"/>
      </w:pPr>
      <w:r>
        <w:t>SEKCJA 6: Postępowanie w przypadku niezamierzonego uwolnienia do środowiska</w:t>
      </w:r>
    </w:p>
    <w:p w:rsidR="006D1D74" w:rsidRDefault="00012BD5">
      <w:pPr>
        <w:spacing w:after="14" w:line="237" w:lineRule="auto"/>
      </w:pPr>
      <w:r>
        <w:rPr>
          <w:b/>
        </w:rPr>
        <w:t xml:space="preserve">6.1. Indywidualne środki ostrożności, wyposażenie ochronne i procedury w sytuacjach awaryjnych </w:t>
      </w:r>
    </w:p>
    <w:p w:rsidR="006D1D74" w:rsidRDefault="00012BD5">
      <w:pPr>
        <w:spacing w:after="240" w:line="234" w:lineRule="auto"/>
        <w:ind w:right="4"/>
        <w:jc w:val="both"/>
      </w:pPr>
      <w:r>
        <w:rPr>
          <w:i/>
        </w:rPr>
        <w:t>Dla o</w:t>
      </w:r>
      <w:r>
        <w:rPr>
          <w:i/>
        </w:rPr>
        <w:t>sób nienależących do personelu udzielającego pomocy:</w:t>
      </w:r>
      <w:r>
        <w:t xml:space="preserve"> zawiadomić o awarii odpowiednie służby. Usunąć  z obszaru zagrożenia osoby niebiorące udziału w likwidacji awarii. </w:t>
      </w:r>
      <w:r>
        <w:rPr>
          <w:i/>
        </w:rPr>
        <w:t>Dla osób udzielających pomocy:</w:t>
      </w:r>
      <w:r>
        <w:t xml:space="preserve"> brak specjalnych wymagań.</w:t>
      </w:r>
    </w:p>
    <w:p w:rsidR="006D1D74" w:rsidRDefault="00012BD5">
      <w:pPr>
        <w:spacing w:after="14" w:line="237" w:lineRule="auto"/>
      </w:pPr>
      <w:r>
        <w:rPr>
          <w:b/>
        </w:rPr>
        <w:t>6.2 . Środki ostrożności w zakr</w:t>
      </w:r>
      <w:r>
        <w:rPr>
          <w:b/>
        </w:rPr>
        <w:t>esie ochrony środowiska</w:t>
      </w:r>
    </w:p>
    <w:p w:rsidR="006D1D74" w:rsidRDefault="00012BD5">
      <w:pPr>
        <w:spacing w:after="225"/>
      </w:pPr>
      <w:r>
        <w:t>Zapobiegać rozprzestrzenianiu się oraz przedostaniu do kanalizacji i zbiorników wodnych dużych ilości.</w:t>
      </w:r>
    </w:p>
    <w:p w:rsidR="006D1D74" w:rsidRDefault="00012BD5">
      <w:pPr>
        <w:spacing w:after="14" w:line="237" w:lineRule="auto"/>
      </w:pPr>
      <w:r>
        <w:rPr>
          <w:b/>
        </w:rPr>
        <w:t>6.3 . Metody i materiały zapobiegające rozprzestrzenianiu się skażenia i służące do usuwania skażenia</w:t>
      </w:r>
    </w:p>
    <w:p w:rsidR="006D1D74" w:rsidRDefault="00012BD5">
      <w:pPr>
        <w:spacing w:after="240" w:line="234" w:lineRule="auto"/>
        <w:ind w:right="4"/>
        <w:jc w:val="both"/>
      </w:pPr>
      <w:r>
        <w:t>Zapobiegać rozprzestrzenian</w:t>
      </w:r>
      <w:r>
        <w:t>iu się i usuwać poprzez zebranie na niepalnym materiale absorpcyjnym (piasek, trociny, ziemia okrzemkowa, absorbent uniwersalny), zanieczyszczony materiał umieścić w odpowiednio oznakowanych pojemnikach w celu utylizacji zgodnie z  obowiązującymi przepisam</w:t>
      </w:r>
      <w:r>
        <w:t>i.</w:t>
      </w:r>
    </w:p>
    <w:p w:rsidR="006D1D74" w:rsidRDefault="00012BD5">
      <w:pPr>
        <w:spacing w:after="14" w:line="237" w:lineRule="auto"/>
      </w:pPr>
      <w:r>
        <w:rPr>
          <w:b/>
        </w:rPr>
        <w:t xml:space="preserve">6.4. Odniesienia do innych sekcji </w:t>
      </w:r>
    </w:p>
    <w:p w:rsidR="006D1D74" w:rsidRDefault="00012BD5">
      <w:pPr>
        <w:spacing w:after="255"/>
        <w:ind w:right="4618"/>
      </w:pPr>
      <w:r>
        <w:t>Postępowanie z odpadami produktu – patrz sekcja 13 karty. Środki ochrony indywidualnej – patrz sekcja 8 karty.</w:t>
      </w:r>
    </w:p>
    <w:p w:rsidR="006D1D74" w:rsidRDefault="00012BD5">
      <w:pPr>
        <w:pStyle w:val="Nagwek1"/>
      </w:pPr>
      <w:r>
        <w:t xml:space="preserve">SEKCJA 7: Postępowanie z substancjami i mieszaninami oraz ich magazynowanie </w:t>
      </w:r>
    </w:p>
    <w:p w:rsidR="006D1D74" w:rsidRDefault="00012BD5">
      <w:pPr>
        <w:spacing w:after="225" w:line="237" w:lineRule="auto"/>
        <w:ind w:right="3896"/>
      </w:pPr>
      <w:r>
        <w:rPr>
          <w:b/>
        </w:rPr>
        <w:t xml:space="preserve">7.1 . Środki ostrożności dotyczące bezpiecznego postępowania </w:t>
      </w:r>
      <w:r>
        <w:t xml:space="preserve">Unikać kontaktu z oczami. </w:t>
      </w:r>
    </w:p>
    <w:p w:rsidR="006D1D74" w:rsidRDefault="00012BD5">
      <w:pPr>
        <w:spacing w:after="240" w:line="234" w:lineRule="auto"/>
        <w:ind w:right="4"/>
        <w:jc w:val="both"/>
      </w:pPr>
      <w:r>
        <w:rPr>
          <w:b/>
        </w:rPr>
        <w:t xml:space="preserve">7.2 . Warunki bezpiecznego magazynowania, w tym informacje dotyczące wszelkich wzajemnych niezgodności </w:t>
      </w:r>
      <w:r>
        <w:t>Przechowywać w chłodnym (w temperaturze pokojowej), suchym, pomie</w:t>
      </w:r>
      <w:r>
        <w:t xml:space="preserve">szczeniu w prawidłowo oznakowanym, szczelnie zamkniętym oryginalnym pojemniku. </w:t>
      </w:r>
    </w:p>
    <w:p w:rsidR="006D1D74" w:rsidRDefault="00012BD5">
      <w:pPr>
        <w:spacing w:after="255" w:line="237" w:lineRule="auto"/>
        <w:ind w:right="6002"/>
      </w:pPr>
      <w:r>
        <w:rPr>
          <w:b/>
        </w:rPr>
        <w:t xml:space="preserve">7.3  Szczególne zastosowanie(-a) końcowe </w:t>
      </w:r>
      <w:r>
        <w:t>Patrz sekcja 1.2.</w:t>
      </w:r>
    </w:p>
    <w:p w:rsidR="006D1D74" w:rsidRDefault="00012BD5">
      <w:pPr>
        <w:pStyle w:val="Nagwek1"/>
      </w:pPr>
      <w:r>
        <w:t>SEKCJA 8: Kontrola narażenia/środki ochrony indywidualnej</w:t>
      </w:r>
    </w:p>
    <w:p w:rsidR="006D1D74" w:rsidRDefault="00012BD5">
      <w:pPr>
        <w:spacing w:after="14" w:line="237" w:lineRule="auto"/>
      </w:pPr>
      <w:r>
        <w:rPr>
          <w:b/>
        </w:rPr>
        <w:t>8.1 . Parametry dotyczące kontroli</w:t>
      </w:r>
    </w:p>
    <w:p w:rsidR="006D1D74" w:rsidRDefault="00012BD5">
      <w:pPr>
        <w:spacing w:after="455" w:line="234" w:lineRule="auto"/>
        <w:ind w:right="4"/>
        <w:jc w:val="both"/>
      </w:pPr>
      <w:r>
        <w:t>Normy ekspozycji dla zagrożeń zawodowych zgodnie z Rozporządzeniem Ministra Rodziny, Pracy i Polityki Społecznej z dnia 12 czerwca 2018r w sprawie najwyższych dopuszczalnych stężeń i natężeń czynników szkodliwych dla zdrowia w środowisku pracy (DZ.U. poz.1</w:t>
      </w:r>
      <w:r>
        <w:t>286 z późn. zm.).</w:t>
      </w:r>
    </w:p>
    <w:p w:rsidR="006D1D74" w:rsidRDefault="00012BD5">
      <w:r>
        <w:t>Składniki, dla których obowiązują normy ekspozycji:</w:t>
      </w:r>
    </w:p>
    <w:tbl>
      <w:tblPr>
        <w:tblStyle w:val="TableGrid"/>
        <w:tblW w:w="10226" w:type="dxa"/>
        <w:tblInd w:w="-1" w:type="dxa"/>
        <w:tblCellMar>
          <w:top w:w="0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182"/>
        <w:gridCol w:w="1180"/>
        <w:gridCol w:w="1182"/>
        <w:gridCol w:w="1560"/>
        <w:gridCol w:w="1720"/>
      </w:tblGrid>
      <w:tr w:rsidR="006D1D74">
        <w:trPr>
          <w:trHeight w:val="699"/>
        </w:trPr>
        <w:tc>
          <w:tcPr>
            <w:tcW w:w="340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</w:pPr>
            <w:r>
              <w:rPr>
                <w:b/>
              </w:rPr>
              <w:lastRenderedPageBreak/>
              <w:t>Nazwa i nr CAS substancji chemicznej</w:t>
            </w:r>
          </w:p>
        </w:tc>
        <w:tc>
          <w:tcPr>
            <w:tcW w:w="3544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0" w:right="0" w:firstLine="0"/>
              <w:jc w:val="center"/>
            </w:pPr>
            <w:r>
              <w:t>Najwyższe dopuszczalne stężenie</w:t>
            </w:r>
          </w:p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(w mg/m</w:t>
            </w:r>
            <w:r>
              <w:rPr>
                <w:sz w:val="18"/>
                <w:vertAlign w:val="superscript"/>
              </w:rPr>
              <w:t>3</w:t>
            </w:r>
            <w:r>
              <w:t>) w zależności od czasu narażenia w ciągu zmiany roboczej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Liczba włókien (w cm</w:t>
            </w:r>
            <w:r>
              <w:rPr>
                <w:sz w:val="18"/>
                <w:vertAlign w:val="superscript"/>
              </w:rPr>
              <w:t>3</w:t>
            </w:r>
            <w:r>
              <w:t>)</w:t>
            </w:r>
          </w:p>
        </w:tc>
        <w:tc>
          <w:tcPr>
            <w:tcW w:w="172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40" w:lineRule="auto"/>
              <w:ind w:left="0" w:right="0" w:firstLine="0"/>
              <w:jc w:val="center"/>
            </w:pPr>
            <w:r>
              <w:t>Uwagi:</w:t>
            </w:r>
          </w:p>
          <w:p w:rsidR="006D1D74" w:rsidRDefault="00012BD5">
            <w:pPr>
              <w:spacing w:after="0" w:line="234" w:lineRule="auto"/>
              <w:ind w:left="30" w:right="0" w:hanging="6"/>
              <w:jc w:val="center"/>
            </w:pPr>
            <w:r>
              <w:t>Oznakowanie substancj</w:t>
            </w:r>
            <w:r>
              <w:t>i notacją</w:t>
            </w:r>
          </w:p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„skóra”</w:t>
            </w:r>
          </w:p>
        </w:tc>
      </w:tr>
      <w:tr w:rsidR="006D1D74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NDS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176" w:right="0" w:firstLine="0"/>
            </w:pPr>
            <w:r>
              <w:rPr>
                <w:b/>
              </w:rPr>
              <w:t>NDSCh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NDSP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6D1D74">
            <w:pPr>
              <w:spacing w:after="0" w:line="276" w:lineRule="auto"/>
              <w:ind w:left="0" w:right="0" w:firstLine="0"/>
            </w:pPr>
          </w:p>
        </w:tc>
      </w:tr>
      <w:tr w:rsidR="006D1D74">
        <w:trPr>
          <w:trHeight w:val="4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1085" w:firstLine="0"/>
            </w:pPr>
            <w:r>
              <w:t>Nadtlenek wodoru [ CAS : 7722-84-1]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0,4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0,8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</w:tr>
      <w:tr w:rsidR="006D1D74">
        <w:trPr>
          <w:trHeight w:val="4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42" w:firstLine="0"/>
            </w:pPr>
            <w:r>
              <w:t>Gliceryna – frakcja wdychalna [ CAS : 56-81-5]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-</w:t>
            </w:r>
          </w:p>
        </w:tc>
      </w:tr>
    </w:tbl>
    <w:p w:rsidR="006D1D74" w:rsidRDefault="00012BD5">
      <w:pPr>
        <w:spacing w:after="14" w:line="237" w:lineRule="auto"/>
      </w:pPr>
      <w:r>
        <w:rPr>
          <w:b/>
        </w:rPr>
        <w:t>8.2 . Kontrola narażenia</w:t>
      </w:r>
    </w:p>
    <w:p w:rsidR="006D1D74" w:rsidRDefault="00012BD5">
      <w:pPr>
        <w:spacing w:after="225" w:line="237" w:lineRule="auto"/>
        <w:ind w:right="6457"/>
      </w:pPr>
      <w:r>
        <w:rPr>
          <w:b/>
        </w:rPr>
        <w:t>Stosowne techniczne środki kontroli:</w:t>
      </w:r>
      <w:r>
        <w:t xml:space="preserve"> Brak specjalnych wymagań</w:t>
      </w:r>
    </w:p>
    <w:p w:rsidR="006D1D74" w:rsidRDefault="00012BD5">
      <w:pPr>
        <w:spacing w:after="14" w:line="237" w:lineRule="auto"/>
      </w:pPr>
      <w:r>
        <w:rPr>
          <w:b/>
        </w:rPr>
        <w:t>Indywidualne środki ochrony, takie jak indywidualne wyposażenie ochronne:</w:t>
      </w:r>
    </w:p>
    <w:p w:rsidR="006D1D74" w:rsidRDefault="00012BD5">
      <w:pPr>
        <w:spacing w:after="0" w:line="240" w:lineRule="auto"/>
      </w:pPr>
      <w:r>
        <w:rPr>
          <w:b/>
          <w:i/>
        </w:rPr>
        <w:t>Ochrona oczu  lub twarzy:</w:t>
      </w:r>
    </w:p>
    <w:p w:rsidR="006D1D74" w:rsidRDefault="00012BD5">
      <w:r>
        <w:t xml:space="preserve">Unikać zanieczyszczenia oczu. </w:t>
      </w:r>
    </w:p>
    <w:p w:rsidR="006D1D74" w:rsidRDefault="00012BD5">
      <w:pPr>
        <w:spacing w:after="0" w:line="240" w:lineRule="auto"/>
      </w:pPr>
      <w:r>
        <w:rPr>
          <w:b/>
          <w:i/>
        </w:rPr>
        <w:t>Ochrona skóry:</w:t>
      </w:r>
    </w:p>
    <w:p w:rsidR="006D1D74" w:rsidRDefault="00012BD5">
      <w:pPr>
        <w:spacing w:after="0" w:line="240" w:lineRule="auto"/>
        <w:ind w:left="0" w:right="0" w:firstLine="0"/>
      </w:pPr>
      <w:r>
        <w:rPr>
          <w:i/>
        </w:rPr>
        <w:t>Ochrona rąk:</w:t>
      </w:r>
    </w:p>
    <w:p w:rsidR="006D1D74" w:rsidRDefault="00012BD5">
      <w:pPr>
        <w:ind w:right="4861"/>
      </w:pPr>
      <w:r>
        <w:t xml:space="preserve">Nie jest wymagana w normalnych warunkach stosowania. </w:t>
      </w:r>
      <w:r>
        <w:rPr>
          <w:i/>
        </w:rPr>
        <w:t xml:space="preserve">Inne: </w:t>
      </w:r>
    </w:p>
    <w:p w:rsidR="006D1D74" w:rsidRDefault="00012BD5">
      <w:pPr>
        <w:ind w:right="4484"/>
      </w:pPr>
      <w:r>
        <w:t xml:space="preserve">Nie jest wymagana w normalnych warunkach stosowania. </w:t>
      </w:r>
      <w:r>
        <w:rPr>
          <w:b/>
          <w:i/>
        </w:rPr>
        <w:t>Ochrona dróg oddechowych:</w:t>
      </w:r>
    </w:p>
    <w:p w:rsidR="006D1D74" w:rsidRDefault="00012BD5">
      <w:pPr>
        <w:spacing w:after="225"/>
      </w:pPr>
      <w:r>
        <w:t xml:space="preserve">Nie jest wymagana w normalnych warunkach stosowania. </w:t>
      </w:r>
    </w:p>
    <w:p w:rsidR="006D1D74" w:rsidRDefault="00012BD5">
      <w:pPr>
        <w:spacing w:after="14" w:line="237" w:lineRule="auto"/>
      </w:pPr>
      <w:r>
        <w:rPr>
          <w:b/>
        </w:rPr>
        <w:t>Zagrożenia termiczne:</w:t>
      </w:r>
    </w:p>
    <w:p w:rsidR="006D1D74" w:rsidRDefault="00012BD5">
      <w:r>
        <w:t>Nie dotyczy.</w:t>
      </w:r>
    </w:p>
    <w:p w:rsidR="006D1D74" w:rsidRDefault="00012BD5">
      <w:pPr>
        <w:spacing w:after="14" w:line="237" w:lineRule="auto"/>
      </w:pPr>
      <w:r>
        <w:rPr>
          <w:b/>
        </w:rPr>
        <w:t>Kontrola narażenia środowiska</w:t>
      </w:r>
    </w:p>
    <w:p w:rsidR="006D1D74" w:rsidRDefault="00012BD5">
      <w:pPr>
        <w:spacing w:after="254"/>
      </w:pPr>
      <w:r>
        <w:t>Nie dopuszczać do rozprzestrzeniania się w środowisku i pr</w:t>
      </w:r>
      <w:r>
        <w:t>zedostania się do kanalizacji i cieków wodnych.</w:t>
      </w:r>
    </w:p>
    <w:p w:rsidR="006D1D74" w:rsidRDefault="00012BD5">
      <w:pPr>
        <w:pStyle w:val="Nagwek1"/>
      </w:pPr>
      <w:r>
        <w:t>SEKCJA 9: Właściwości fizyczne i chemiczne</w:t>
      </w:r>
    </w:p>
    <w:p w:rsidR="006D1D74" w:rsidRDefault="00012BD5">
      <w:pPr>
        <w:spacing w:after="14" w:line="237" w:lineRule="auto"/>
      </w:pPr>
      <w:r>
        <w:rPr>
          <w:b/>
        </w:rPr>
        <w:t>9.1 . Informacje na temat podstawowych właściwości fizycznych i chemicznych</w:t>
      </w:r>
    </w:p>
    <w:tbl>
      <w:tblPr>
        <w:tblStyle w:val="TableGrid"/>
        <w:tblW w:w="10510" w:type="dxa"/>
        <w:tblInd w:w="-1" w:type="dxa"/>
        <w:tblCellMar>
          <w:top w:w="7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  <w:gridCol w:w="5264"/>
      </w:tblGrid>
      <w:tr w:rsidR="006D1D74">
        <w:trPr>
          <w:trHeight w:val="377"/>
        </w:trPr>
        <w:tc>
          <w:tcPr>
            <w:tcW w:w="52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Wygląd</w:t>
            </w:r>
          </w:p>
        </w:tc>
        <w:tc>
          <w:tcPr>
            <w:tcW w:w="52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 xml:space="preserve">Ciecz  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Zapach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Charakterystyczny, przyjemny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Próg zapachu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 xml:space="preserve">pH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Temperatura topnienia/zakres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Temperatura wrzenia/zakres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 xml:space="preserve">Temperatura zapłonu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Szybkość parowania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Palność (ciało stałe, gaz)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Nie dotyczy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Dolna granica wybuchowości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Górna granica wybuchowości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 xml:space="preserve">Prężność par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Względna gęstość par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Gęstość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Rozpuszczalność w rozpuszczalnikach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Rozpuszczalny w wodzie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Współczynnik podziału n-oktanol/woda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Temperatura samozapłonu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7"/>
        </w:trPr>
        <w:tc>
          <w:tcPr>
            <w:tcW w:w="52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Temperatura rozkładu</w:t>
            </w:r>
          </w:p>
        </w:tc>
        <w:tc>
          <w:tcPr>
            <w:tcW w:w="52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 xml:space="preserve">Lepkość dynamiczna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Lepkość kinematyczna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Właściwości wybuchowe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  <w:tr w:rsidR="006D1D74">
        <w:trPr>
          <w:trHeight w:val="37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 xml:space="preserve">Właściwości utleniające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74" w:rsidRDefault="00012BD5">
            <w:pPr>
              <w:spacing w:after="0" w:line="276" w:lineRule="auto"/>
              <w:ind w:left="0" w:right="0" w:firstLine="0"/>
              <w:jc w:val="center"/>
            </w:pPr>
            <w:r>
              <w:t>Brak danych</w:t>
            </w:r>
          </w:p>
        </w:tc>
      </w:tr>
    </w:tbl>
    <w:p w:rsidR="006D1D74" w:rsidRDefault="00012BD5">
      <w:pPr>
        <w:spacing w:after="14" w:line="237" w:lineRule="auto"/>
      </w:pPr>
      <w:r>
        <w:rPr>
          <w:b/>
        </w:rPr>
        <w:t>9.2 . Inne informacje</w:t>
      </w:r>
    </w:p>
    <w:p w:rsidR="006D1D74" w:rsidRDefault="00012BD5">
      <w:pPr>
        <w:spacing w:after="254"/>
      </w:pPr>
      <w:r>
        <w:t xml:space="preserve">Brak dodatkowych wyników badań. </w:t>
      </w:r>
    </w:p>
    <w:p w:rsidR="006D1D74" w:rsidRDefault="00012BD5">
      <w:pPr>
        <w:pStyle w:val="Nagwek1"/>
      </w:pPr>
      <w:r>
        <w:t>SEKCJA 10: Stabilność i reaktywność</w:t>
      </w:r>
    </w:p>
    <w:p w:rsidR="006D1D74" w:rsidRDefault="00012BD5">
      <w:pPr>
        <w:spacing w:after="14" w:line="237" w:lineRule="auto"/>
        <w:ind w:right="8391"/>
      </w:pPr>
      <w:r>
        <w:rPr>
          <w:b/>
        </w:rPr>
        <w:t xml:space="preserve">10.1 . Reaktywność </w:t>
      </w:r>
      <w:r>
        <w:t>Nie znana.</w:t>
      </w:r>
    </w:p>
    <w:p w:rsidR="006D1D74" w:rsidRDefault="00012BD5">
      <w:pPr>
        <w:spacing w:after="14" w:line="237" w:lineRule="auto"/>
      </w:pPr>
      <w:r>
        <w:rPr>
          <w:b/>
        </w:rPr>
        <w:t>10.2 . Stabilność chemiczna</w:t>
      </w:r>
    </w:p>
    <w:p w:rsidR="006D1D74" w:rsidRDefault="00012BD5">
      <w:r>
        <w:t>Produkt stabilny w normalnych warunkach stosowania, magazynowania i transportu.</w:t>
      </w:r>
    </w:p>
    <w:p w:rsidR="006D1D74" w:rsidRDefault="00012BD5">
      <w:pPr>
        <w:spacing w:after="14" w:line="237" w:lineRule="auto"/>
        <w:ind w:right="4764"/>
      </w:pPr>
      <w:r>
        <w:rPr>
          <w:b/>
        </w:rPr>
        <w:t xml:space="preserve">10.3 . Możliwość występowania niebezpiecznych reakcji </w:t>
      </w:r>
      <w:r>
        <w:t>Brak.</w:t>
      </w:r>
    </w:p>
    <w:p w:rsidR="006D1D74" w:rsidRDefault="00012BD5">
      <w:pPr>
        <w:spacing w:after="14" w:line="237" w:lineRule="auto"/>
        <w:ind w:right="5762"/>
      </w:pPr>
      <w:r>
        <w:rPr>
          <w:b/>
        </w:rPr>
        <w:t>10.4 . Warunki, któryc</w:t>
      </w:r>
      <w:r>
        <w:rPr>
          <w:b/>
        </w:rPr>
        <w:t xml:space="preserve">h należy unikać </w:t>
      </w:r>
      <w:r>
        <w:t xml:space="preserve">Podwyższona temperatura; światło. </w:t>
      </w:r>
    </w:p>
    <w:p w:rsidR="006D1D74" w:rsidRDefault="00012BD5">
      <w:pPr>
        <w:spacing w:after="14" w:line="237" w:lineRule="auto"/>
      </w:pPr>
      <w:r>
        <w:rPr>
          <w:b/>
        </w:rPr>
        <w:t>10.5 . Materiały niezgodne</w:t>
      </w:r>
    </w:p>
    <w:p w:rsidR="006D1D74" w:rsidRDefault="00012BD5">
      <w:pPr>
        <w:spacing w:after="240" w:line="234" w:lineRule="auto"/>
        <w:ind w:right="4"/>
        <w:jc w:val="both"/>
      </w:pPr>
      <w:r>
        <w:t xml:space="preserve">Katalizatory rozkładu nadtlenku wodoru: materiały organiczne, substancje redukujące, tlenki metali, sole metali, jony metali (np. Mn, Fe, Cu, Ni, Cr, Zn), zasady, zanieczyszczenia, rdza, brud. </w:t>
      </w:r>
      <w:r>
        <w:rPr>
          <w:b/>
        </w:rPr>
        <w:t xml:space="preserve">10.6 . Niebezpieczne produkty rozkładu </w:t>
      </w:r>
      <w:r>
        <w:t>Tlenki węgla.</w:t>
      </w:r>
    </w:p>
    <w:p w:rsidR="006D1D74" w:rsidRDefault="00012BD5">
      <w:pPr>
        <w:pStyle w:val="Nagwek1"/>
      </w:pPr>
      <w:r>
        <w:t>SEKCJA 11:</w:t>
      </w:r>
      <w:r>
        <w:t xml:space="preserve"> Informacje toksykologiczne</w:t>
      </w:r>
    </w:p>
    <w:p w:rsidR="006D1D74" w:rsidRDefault="00012BD5">
      <w:pPr>
        <w:spacing w:after="14" w:line="237" w:lineRule="auto"/>
      </w:pPr>
      <w:r>
        <w:rPr>
          <w:b/>
        </w:rPr>
        <w:t>11.1 . Informacje dotyczące skutków toksykologicznych</w:t>
      </w:r>
    </w:p>
    <w:p w:rsidR="006D1D74" w:rsidRDefault="00012BD5">
      <w:pPr>
        <w:numPr>
          <w:ilvl w:val="0"/>
          <w:numId w:val="1"/>
        </w:numPr>
        <w:ind w:hanging="232"/>
      </w:pPr>
      <w:r>
        <w:t>toksyczność ostra: na podstawie dostępnych danych, kryteria klasyfikacji nie są spełnione</w:t>
      </w:r>
    </w:p>
    <w:p w:rsidR="006D1D74" w:rsidRDefault="00012BD5">
      <w:pPr>
        <w:numPr>
          <w:ilvl w:val="0"/>
          <w:numId w:val="1"/>
        </w:numPr>
        <w:ind w:hanging="232"/>
      </w:pPr>
      <w:r>
        <w:t>działanie żrące/drażniące na skórę: na podstawie dostępnych danych, kryteria klasyfi</w:t>
      </w:r>
      <w:r>
        <w:t xml:space="preserve">kacji nie są spełnione </w:t>
      </w:r>
    </w:p>
    <w:p w:rsidR="006D1D74" w:rsidRDefault="00012BD5">
      <w:pPr>
        <w:numPr>
          <w:ilvl w:val="0"/>
          <w:numId w:val="1"/>
        </w:numPr>
        <w:ind w:hanging="232"/>
      </w:pPr>
      <w:r>
        <w:t xml:space="preserve">poważne uszkodzenie oczu/działanie drażniące na oczy: </w:t>
      </w:r>
      <w:r>
        <w:rPr>
          <w:b/>
        </w:rPr>
        <w:t>Działa drażniąco na oczy.</w:t>
      </w:r>
    </w:p>
    <w:p w:rsidR="006D1D74" w:rsidRDefault="00012BD5">
      <w:pPr>
        <w:numPr>
          <w:ilvl w:val="0"/>
          <w:numId w:val="1"/>
        </w:numPr>
        <w:ind w:hanging="232"/>
      </w:pPr>
      <w:r>
        <w:t>działanie uczulające na drogi oddechowe lub skórę: na podstawie dostępnych danych, kryteria klasyfikacji nie są spełnione</w:t>
      </w:r>
    </w:p>
    <w:p w:rsidR="006D1D74" w:rsidRDefault="00012BD5">
      <w:pPr>
        <w:numPr>
          <w:ilvl w:val="0"/>
          <w:numId w:val="1"/>
        </w:numPr>
        <w:ind w:hanging="232"/>
      </w:pPr>
      <w:r>
        <w:t>działanie mutagenne na komórki</w:t>
      </w:r>
      <w:r>
        <w:t xml:space="preserve"> rozrodcze: na podstawie dostępnych danych, kryteria klasyfikacji nie są spełnione</w:t>
      </w:r>
    </w:p>
    <w:p w:rsidR="006D1D74" w:rsidRDefault="00012BD5">
      <w:pPr>
        <w:numPr>
          <w:ilvl w:val="0"/>
          <w:numId w:val="1"/>
        </w:numPr>
        <w:ind w:hanging="232"/>
      </w:pPr>
      <w:r>
        <w:t>rakotwórczość: na podstawie dostępnych danych, kryteria klasyfikacji nie są spełnione</w:t>
      </w:r>
    </w:p>
    <w:p w:rsidR="006D1D74" w:rsidRDefault="00012BD5">
      <w:pPr>
        <w:numPr>
          <w:ilvl w:val="0"/>
          <w:numId w:val="1"/>
        </w:numPr>
        <w:ind w:hanging="232"/>
      </w:pPr>
      <w:r>
        <w:t>szkodliwe działanie na rozrodczość: na podstawie dostępnych danych, kryteria klasyfikac</w:t>
      </w:r>
      <w:r>
        <w:t>ji nie są spełnione</w:t>
      </w:r>
    </w:p>
    <w:p w:rsidR="006D1D74" w:rsidRDefault="00012BD5">
      <w:pPr>
        <w:numPr>
          <w:ilvl w:val="0"/>
          <w:numId w:val="1"/>
        </w:numPr>
        <w:ind w:hanging="232"/>
      </w:pPr>
      <w:r>
        <w:t>działanie toksyczne na narządy docelowe – narażenie jednorazowe: na podstawie dostępnych danych, kryteria klasyfikacji nie są spełnione</w:t>
      </w:r>
    </w:p>
    <w:p w:rsidR="006D1D74" w:rsidRDefault="00012BD5">
      <w:pPr>
        <w:numPr>
          <w:ilvl w:val="0"/>
          <w:numId w:val="1"/>
        </w:numPr>
        <w:ind w:hanging="232"/>
      </w:pPr>
      <w:r>
        <w:t>działanie toksyczne na narządy docelowe – narażenie powtarzane: na podstawie dostępnych danych, kryt</w:t>
      </w:r>
      <w:r>
        <w:t>eria klasyfikacji nie są spełnione</w:t>
      </w:r>
    </w:p>
    <w:p w:rsidR="006D1D74" w:rsidRDefault="00012BD5">
      <w:pPr>
        <w:numPr>
          <w:ilvl w:val="0"/>
          <w:numId w:val="1"/>
        </w:numPr>
        <w:spacing w:after="225"/>
        <w:ind w:hanging="232"/>
      </w:pPr>
      <w:r>
        <w:t>zagrożenie spowodowane aspiracją: na podstawie dostępnych danych, kryteria klasyfikacji nie są spełnione</w:t>
      </w:r>
    </w:p>
    <w:p w:rsidR="006D1D74" w:rsidRDefault="00012BD5">
      <w:pPr>
        <w:spacing w:after="0" w:line="237" w:lineRule="auto"/>
      </w:pPr>
      <w:r>
        <w:rPr>
          <w:u w:val="single" w:color="000000"/>
        </w:rPr>
        <w:t>Betaina kokosowa</w:t>
      </w:r>
    </w:p>
    <w:p w:rsidR="006D1D74" w:rsidRDefault="00012BD5">
      <w:r>
        <w:t>LD50 (szczur, doustnie): &gt; 5000mg/kg</w:t>
      </w:r>
    </w:p>
    <w:p w:rsidR="006D1D74" w:rsidRDefault="00012BD5">
      <w:r>
        <w:t>LD50 (szczur, doustnie): &gt;1500mg/kg</w:t>
      </w:r>
    </w:p>
    <w:p w:rsidR="006D1D74" w:rsidRDefault="00012BD5">
      <w:r>
        <w:t xml:space="preserve">LD50 (szczur, skórnie): &gt; </w:t>
      </w:r>
      <w:r>
        <w:t>2000mg/kg</w:t>
      </w:r>
    </w:p>
    <w:p w:rsidR="006D1D74" w:rsidRDefault="00012BD5">
      <w:r>
        <w:t>LD50 (szczur, skórnie): &gt; 600mg/kg</w:t>
      </w:r>
    </w:p>
    <w:p w:rsidR="006D1D74" w:rsidRDefault="00012BD5">
      <w:pPr>
        <w:spacing w:after="255" w:line="237" w:lineRule="auto"/>
        <w:ind w:right="6105"/>
      </w:pPr>
      <w:r>
        <w:rPr>
          <w:u w:val="single" w:color="000000"/>
        </w:rPr>
        <w:lastRenderedPageBreak/>
        <w:t xml:space="preserve">Sól sodowa kwasu lauryloetoksysiarkowego </w:t>
      </w:r>
      <w:r>
        <w:t xml:space="preserve">LD50 (doustnie, szczur): &gt;2000mg/kg </w:t>
      </w:r>
    </w:p>
    <w:p w:rsidR="006D1D74" w:rsidRDefault="00012BD5">
      <w:pPr>
        <w:pStyle w:val="Nagwek1"/>
      </w:pPr>
      <w:r>
        <w:t>SEKCJA 12: Informacje ekologiczne</w:t>
      </w:r>
    </w:p>
    <w:p w:rsidR="006D1D74" w:rsidRDefault="00012BD5">
      <w:pPr>
        <w:spacing w:after="14" w:line="237" w:lineRule="auto"/>
      </w:pPr>
      <w:r>
        <w:rPr>
          <w:b/>
        </w:rPr>
        <w:t>12.1 . Toksyczność</w:t>
      </w:r>
    </w:p>
    <w:p w:rsidR="006D1D74" w:rsidRDefault="00012BD5">
      <w:pPr>
        <w:spacing w:after="225"/>
      </w:pPr>
      <w:r>
        <w:t>Produkt nie sklasyfikowany jako niebezpieczny dla środowiska.</w:t>
      </w:r>
    </w:p>
    <w:p w:rsidR="006D1D74" w:rsidRDefault="00012BD5">
      <w:pPr>
        <w:spacing w:after="0" w:line="237" w:lineRule="auto"/>
      </w:pPr>
      <w:r>
        <w:rPr>
          <w:u w:val="single" w:color="000000"/>
        </w:rPr>
        <w:t>Betaina kokosowa</w:t>
      </w:r>
    </w:p>
    <w:p w:rsidR="006D1D74" w:rsidRDefault="00012BD5">
      <w:r>
        <w:t>Ryby: LC50: 6,73 mg/l/96h (Brachydanio rerio)</w:t>
      </w:r>
    </w:p>
    <w:p w:rsidR="006D1D74" w:rsidRDefault="00012BD5">
      <w:r>
        <w:t>Skorupiaki: EC50: 21,5 mg/l/48h (Daphnia magna)</w:t>
      </w:r>
    </w:p>
    <w:p w:rsidR="006D1D74" w:rsidRDefault="00012BD5">
      <w:pPr>
        <w:spacing w:after="225"/>
      </w:pPr>
      <w:r>
        <w:t>Glony: EC50: 1,84 mg/l/96h (Scenedesmus subspicatus)</w:t>
      </w:r>
    </w:p>
    <w:p w:rsidR="006D1D74" w:rsidRDefault="00012BD5">
      <w:pPr>
        <w:spacing w:after="14" w:line="237" w:lineRule="auto"/>
      </w:pPr>
      <w:r>
        <w:rPr>
          <w:b/>
        </w:rPr>
        <w:t>12.2 . Trwałość i zdolność do rozkładu</w:t>
      </w:r>
    </w:p>
    <w:p w:rsidR="006D1D74" w:rsidRDefault="00012BD5">
      <w:pPr>
        <w:spacing w:after="0" w:line="237" w:lineRule="auto"/>
      </w:pPr>
      <w:r>
        <w:rPr>
          <w:u w:val="single" w:color="000000"/>
        </w:rPr>
        <w:t>Sól sodowa kwasu lauryloetoksysiarkowego</w:t>
      </w:r>
    </w:p>
    <w:p w:rsidR="006D1D74" w:rsidRDefault="00012BD5">
      <w:r>
        <w:t>&gt;</w:t>
      </w:r>
      <w:r>
        <w:t>80 % w ciągu 28dni – łatwo biodegradowalny</w:t>
      </w:r>
    </w:p>
    <w:p w:rsidR="006D1D74" w:rsidRDefault="00012BD5">
      <w:pPr>
        <w:spacing w:after="0" w:line="237" w:lineRule="auto"/>
      </w:pPr>
      <w:r>
        <w:rPr>
          <w:u w:val="single" w:color="000000"/>
        </w:rPr>
        <w:t>Betaina kokosowa</w:t>
      </w:r>
    </w:p>
    <w:p w:rsidR="006D1D74" w:rsidRDefault="00012BD5">
      <w:pPr>
        <w:spacing w:after="225"/>
      </w:pPr>
      <w:r>
        <w:t>Związek łatwo biodegradowalny - 85%/28 dni (OECD 301 A)</w:t>
      </w:r>
    </w:p>
    <w:p w:rsidR="006D1D74" w:rsidRDefault="00012BD5">
      <w:pPr>
        <w:spacing w:after="14" w:line="237" w:lineRule="auto"/>
        <w:ind w:right="6716"/>
      </w:pPr>
      <w:r>
        <w:rPr>
          <w:b/>
        </w:rPr>
        <w:t xml:space="preserve">12.3 . Zdolność do bioakumulacji </w:t>
      </w:r>
      <w:r>
        <w:rPr>
          <w:u w:val="single" w:color="000000"/>
        </w:rPr>
        <w:t>Betaina kokosowa</w:t>
      </w:r>
    </w:p>
    <w:p w:rsidR="006D1D74" w:rsidRDefault="00012BD5">
      <w:pPr>
        <w:spacing w:after="203"/>
      </w:pPr>
      <w:r>
        <w:t>Posiada niski potencjał bioakumulacji (log Kow max. 3.63) i niski potencjał przenikania pr</w:t>
      </w:r>
      <w:r>
        <w:t>zez błony biologiczne.</w:t>
      </w:r>
    </w:p>
    <w:p w:rsidR="006D1D74" w:rsidRDefault="00012BD5">
      <w:pPr>
        <w:spacing w:after="225"/>
        <w:ind w:right="7727"/>
      </w:pPr>
      <w:r>
        <w:rPr>
          <w:b/>
        </w:rPr>
        <w:t xml:space="preserve">12.4 . Mobilność w glebie </w:t>
      </w:r>
      <w:r>
        <w:t>Brak dostępnych informacji.</w:t>
      </w:r>
    </w:p>
    <w:p w:rsidR="006D1D74" w:rsidRDefault="00012BD5">
      <w:pPr>
        <w:spacing w:after="14" w:line="237" w:lineRule="auto"/>
      </w:pPr>
      <w:r>
        <w:rPr>
          <w:b/>
        </w:rPr>
        <w:t>12.5 . Wyniki oceny właściwości PBT i vPvB</w:t>
      </w:r>
    </w:p>
    <w:p w:rsidR="006D1D74" w:rsidRDefault="00012BD5">
      <w:pPr>
        <w:spacing w:after="225"/>
      </w:pPr>
      <w:r>
        <w:t>Mieszanina nie zawiera substancji spełniających kryteria PBT lub vPvB.</w:t>
      </w:r>
    </w:p>
    <w:p w:rsidR="006D1D74" w:rsidRDefault="00012BD5">
      <w:pPr>
        <w:spacing w:after="255" w:line="237" w:lineRule="auto"/>
        <w:ind w:right="6617"/>
      </w:pPr>
      <w:r>
        <w:rPr>
          <w:b/>
        </w:rPr>
        <w:t xml:space="preserve">12.6 . Inne szkodliwe skutki działania </w:t>
      </w:r>
      <w:r>
        <w:t>Brak dostępnych informacji</w:t>
      </w:r>
      <w:r>
        <w:t>.</w:t>
      </w:r>
    </w:p>
    <w:p w:rsidR="006D1D74" w:rsidRDefault="00012BD5">
      <w:pPr>
        <w:pStyle w:val="Nagwek1"/>
      </w:pPr>
      <w:r>
        <w:t>SEKCJA 13: Postępowanie z odpadami</w:t>
      </w:r>
    </w:p>
    <w:p w:rsidR="006D1D74" w:rsidRDefault="00012BD5">
      <w:pPr>
        <w:spacing w:after="14" w:line="237" w:lineRule="auto"/>
      </w:pPr>
      <w:r>
        <w:rPr>
          <w:b/>
        </w:rPr>
        <w:t>13.1 . Metody unieszkodliwiania odpadów</w:t>
      </w:r>
    </w:p>
    <w:p w:rsidR="006D1D74" w:rsidRDefault="00012BD5">
      <w:r>
        <w:t>Opróżnione opakowania należy poddać unieszkodliwieniu lub recyklingowi zgodnie z obowiązującymi przepisami.</w:t>
      </w:r>
    </w:p>
    <w:p w:rsidR="006D1D74" w:rsidRDefault="00012BD5">
      <w:r>
        <w:t>Odpady po produkcie oraz przeterminowane pozostałości produktu składowa</w:t>
      </w:r>
      <w:r>
        <w:t>ć w oryginalnych pojemnikach.</w:t>
      </w:r>
    </w:p>
    <w:p w:rsidR="006D1D74" w:rsidRDefault="00012BD5">
      <w:r>
        <w:t xml:space="preserve">Utylizować zgodnie z obowiązującymi przepisami. </w:t>
      </w:r>
    </w:p>
    <w:p w:rsidR="006D1D74" w:rsidRDefault="00012BD5">
      <w:pPr>
        <w:spacing w:after="249"/>
      </w:pPr>
      <w:r>
        <w:t xml:space="preserve">Utylizacją odpadów oraz opakowań odpadowych powinny się zająć wyspecjalizowane firmy. </w:t>
      </w:r>
    </w:p>
    <w:p w:rsidR="006D1D74" w:rsidRDefault="00012BD5">
      <w:pPr>
        <w:spacing w:after="225"/>
      </w:pPr>
      <w:r>
        <w:t xml:space="preserve">Kody odpadów zgodne z Rozporządzeniem Ministra Klimatu z dnia 2 stycznia 2020r. w sprawie katalogu odpadów (DZ.U. poz. 10). </w:t>
      </w:r>
    </w:p>
    <w:p w:rsidR="006D1D74" w:rsidRDefault="00012BD5">
      <w:pPr>
        <w:spacing w:after="0" w:line="237" w:lineRule="auto"/>
      </w:pPr>
      <w:r>
        <w:rPr>
          <w:u w:val="single" w:color="000000"/>
        </w:rPr>
        <w:t>Przepisy wspólnotowe:</w:t>
      </w:r>
    </w:p>
    <w:p w:rsidR="006D1D74" w:rsidRDefault="00012BD5">
      <w:pPr>
        <w:spacing w:after="255"/>
      </w:pPr>
      <w:r>
        <w:t>DYREKTYWA PARLAMENTU EUROPEJSKIEGO i RADY 2008/98/WE z dnia 19 listopada 2008 r. w sprawie odpadów oraz uchyl</w:t>
      </w:r>
      <w:r>
        <w:t>ająca niektóre dyrektywy.</w:t>
      </w:r>
    </w:p>
    <w:p w:rsidR="006D1D74" w:rsidRDefault="00012BD5">
      <w:pPr>
        <w:pStyle w:val="Nagwek1"/>
      </w:pPr>
      <w:r>
        <w:t>SEKCJA 14: Informacje dotyczące transportu</w:t>
      </w:r>
    </w:p>
    <w:p w:rsidR="006D1D74" w:rsidRDefault="00012BD5">
      <w:pPr>
        <w:spacing w:after="0" w:line="237" w:lineRule="auto"/>
      </w:pPr>
      <w:r>
        <w:rPr>
          <w:u w:val="single" w:color="000000"/>
        </w:rPr>
        <w:t>ADR/RID/IMDG/IATA:</w:t>
      </w:r>
    </w:p>
    <w:p w:rsidR="006D1D74" w:rsidRDefault="00012BD5">
      <w:pPr>
        <w:spacing w:after="14" w:line="237" w:lineRule="auto"/>
      </w:pPr>
      <w:r>
        <w:rPr>
          <w:b/>
        </w:rPr>
        <w:t>14.1 . Numer UN (numer ONZ )</w:t>
      </w:r>
    </w:p>
    <w:p w:rsidR="006D1D74" w:rsidRDefault="00012BD5">
      <w:pPr>
        <w:spacing w:after="225"/>
      </w:pPr>
      <w:r>
        <w:t xml:space="preserve">Nie dotyczy, produkt niesklasyfikowany jako niebezpieczny podczas transportu. </w:t>
      </w:r>
    </w:p>
    <w:p w:rsidR="006D1D74" w:rsidRDefault="00012BD5">
      <w:pPr>
        <w:spacing w:after="14" w:line="237" w:lineRule="auto"/>
      </w:pPr>
      <w:r>
        <w:rPr>
          <w:b/>
        </w:rPr>
        <w:t>14.2 . Prawidłowa nazwa przewozowa UN</w:t>
      </w:r>
    </w:p>
    <w:p w:rsidR="006D1D74" w:rsidRDefault="00012BD5">
      <w:pPr>
        <w:spacing w:after="225"/>
      </w:pPr>
      <w:r>
        <w:t>Nie dotyczy, produkt n</w:t>
      </w:r>
      <w:r>
        <w:t xml:space="preserve">iesklasyfikowany jako niebezpieczny podczas transportu. </w:t>
      </w:r>
    </w:p>
    <w:p w:rsidR="006D1D74" w:rsidRDefault="00012BD5">
      <w:pPr>
        <w:spacing w:after="14" w:line="237" w:lineRule="auto"/>
      </w:pPr>
      <w:r>
        <w:rPr>
          <w:b/>
        </w:rPr>
        <w:t>14.3. Klasa(-y) zagrożenia w transporcie</w:t>
      </w:r>
    </w:p>
    <w:p w:rsidR="006D1D74" w:rsidRDefault="00012BD5">
      <w:pPr>
        <w:spacing w:after="225"/>
      </w:pPr>
      <w:r>
        <w:t xml:space="preserve">Nie dotyczy, produkt niesklasyfikowany jako niebezpieczny podczas transportu. </w:t>
      </w:r>
    </w:p>
    <w:p w:rsidR="006D1D74" w:rsidRDefault="00012BD5">
      <w:pPr>
        <w:spacing w:after="14" w:line="237" w:lineRule="auto"/>
      </w:pPr>
      <w:r>
        <w:rPr>
          <w:b/>
        </w:rPr>
        <w:lastRenderedPageBreak/>
        <w:t>14.4 . Grupa pakowania</w:t>
      </w:r>
    </w:p>
    <w:p w:rsidR="006D1D74" w:rsidRDefault="00012BD5">
      <w:pPr>
        <w:spacing w:after="225"/>
      </w:pPr>
      <w:r>
        <w:t>Nie dotyczy, produkt niesklasyfikowany jako niebezpieczn</w:t>
      </w:r>
      <w:r>
        <w:t xml:space="preserve">y podczas transportu. </w:t>
      </w:r>
    </w:p>
    <w:p w:rsidR="006D1D74" w:rsidRDefault="00012BD5">
      <w:pPr>
        <w:spacing w:after="14" w:line="237" w:lineRule="auto"/>
      </w:pPr>
      <w:r>
        <w:rPr>
          <w:b/>
        </w:rPr>
        <w:t>14.5 . Zagrożenia dla środowiska</w:t>
      </w:r>
    </w:p>
    <w:p w:rsidR="006D1D74" w:rsidRDefault="00012BD5">
      <w:pPr>
        <w:spacing w:after="225"/>
      </w:pPr>
      <w:r>
        <w:t xml:space="preserve">Nie dotyczy, produkt niesklasyfikowany jako niebezpieczny podczas transportu. </w:t>
      </w:r>
    </w:p>
    <w:p w:rsidR="006D1D74" w:rsidRDefault="00012BD5">
      <w:pPr>
        <w:spacing w:after="14" w:line="237" w:lineRule="auto"/>
      </w:pPr>
      <w:r>
        <w:rPr>
          <w:b/>
        </w:rPr>
        <w:t>14.6. Szczególne środki ostrożności dla użytkowników</w:t>
      </w:r>
    </w:p>
    <w:p w:rsidR="006D1D74" w:rsidRDefault="00012BD5">
      <w:pPr>
        <w:spacing w:after="455"/>
      </w:pPr>
      <w:r>
        <w:t>Nie dotyczy, produkt niesklasyfikowany jako niebezpieczny podczas tr</w:t>
      </w:r>
      <w:r>
        <w:t xml:space="preserve">ansportu. </w:t>
      </w:r>
    </w:p>
    <w:p w:rsidR="006D1D74" w:rsidRDefault="00012BD5">
      <w:pPr>
        <w:spacing w:after="255" w:line="237" w:lineRule="auto"/>
        <w:ind w:right="1915"/>
      </w:pPr>
      <w:r>
        <w:rPr>
          <w:b/>
        </w:rPr>
        <w:t xml:space="preserve">14.7. Transport luzem zgodnie z załącznikiem II do konwencji MARPOL i kodeksem IBC </w:t>
      </w:r>
      <w:r>
        <w:t xml:space="preserve">Nie dotyczy, produkt niesklasyfikowany jako niebezpieczny podczas transportu. </w:t>
      </w:r>
    </w:p>
    <w:p w:rsidR="006D1D74" w:rsidRDefault="00012BD5">
      <w:pPr>
        <w:pStyle w:val="Nagwek1"/>
        <w:spacing w:after="0"/>
      </w:pPr>
      <w:r>
        <w:t>SEKCJA 15: Informacje dotyczące przepisów prawnych</w:t>
      </w:r>
    </w:p>
    <w:p w:rsidR="006D1D74" w:rsidRDefault="00012BD5">
      <w:pPr>
        <w:spacing w:after="225" w:line="237" w:lineRule="auto"/>
      </w:pPr>
      <w:r>
        <w:rPr>
          <w:b/>
        </w:rPr>
        <w:t>15.1 . Przepisy prawne dotyczące</w:t>
      </w:r>
      <w:r>
        <w:rPr>
          <w:b/>
        </w:rPr>
        <w:t xml:space="preserve"> bezpieczeństwa, zdrowia i ochrony środowiska specyficzne dla substancji lub mieszaniny</w:t>
      </w:r>
    </w:p>
    <w:p w:rsidR="006D1D74" w:rsidRDefault="00012BD5">
      <w:pPr>
        <w:numPr>
          <w:ilvl w:val="0"/>
          <w:numId w:val="2"/>
        </w:numPr>
        <w:ind w:hanging="1056"/>
      </w:pPr>
      <w:r>
        <w:t>Rozporządzenie (WE) nr 1907/2006 Parlamentu Europejskiego i Rady z dnia 18 grudnia 2006r w sprawie rejestracji, oceny, udzielania zezwoleń, stosowanych ograniczeń w zak</w:t>
      </w:r>
      <w:r>
        <w:t xml:space="preserve">resie chemikaliów (REACH) z późn. zm. </w:t>
      </w:r>
    </w:p>
    <w:p w:rsidR="006D1D74" w:rsidRDefault="00012BD5">
      <w:pPr>
        <w:numPr>
          <w:ilvl w:val="0"/>
          <w:numId w:val="2"/>
        </w:numPr>
        <w:ind w:hanging="1056"/>
      </w:pPr>
      <w:r>
        <w:t>ROZPORZĄDZENIE KOMISJI (UE) 2015/830 z dnia 28 maja 2015 r. zmieniające rozporządzenie (WE) nr 1907/2006 Parlamentu Europejskiego i Rady w sprawie rejestracji, oceny, udzielania zezwoleń i stosowanych ograniczeń w zak</w:t>
      </w:r>
      <w:r>
        <w:t>resie chemikaliów (REACH)</w:t>
      </w:r>
    </w:p>
    <w:p w:rsidR="006D1D74" w:rsidRDefault="00012BD5">
      <w:pPr>
        <w:numPr>
          <w:ilvl w:val="0"/>
          <w:numId w:val="2"/>
        </w:numPr>
        <w:ind w:hanging="1056"/>
      </w:pPr>
      <w:r>
        <w:t>Sprostowanie do rozporządzenia Komisji (UE) 2015/830 z dnia 28 maja 2015 r. zmieniającego rozporządzenie (WE) nr 1907/2006 Parlamentu Europejskiego i Rady w sprawie rejestracji, oceny, udzielania zezwoleń i stosowanych ograniczeń w zakresie chemikaliów (RE</w:t>
      </w:r>
      <w:r>
        <w:t>ACH)</w:t>
      </w:r>
    </w:p>
    <w:p w:rsidR="006D1D74" w:rsidRDefault="00012BD5">
      <w:pPr>
        <w:numPr>
          <w:ilvl w:val="0"/>
          <w:numId w:val="2"/>
        </w:numPr>
        <w:ind w:hanging="1056"/>
      </w:pPr>
      <w:r>
        <w:t xml:space="preserve">Rozporządzenie Parlamentu Europejskiego i Rady z dnia 16 grudnia 2008r nr 1272/2008 (CLP) z późn. zm. </w:t>
      </w:r>
    </w:p>
    <w:p w:rsidR="006D1D74" w:rsidRDefault="00012BD5">
      <w:pPr>
        <w:numPr>
          <w:ilvl w:val="0"/>
          <w:numId w:val="2"/>
        </w:numPr>
        <w:ind w:hanging="1056"/>
      </w:pPr>
      <w:r>
        <w:t xml:space="preserve">Ustawa z dnia 25 lutego 2011r. o substancjach chemicznych i ich mieszaninach (t.j. DZ.U. 2019, poz.1225). </w:t>
      </w:r>
    </w:p>
    <w:p w:rsidR="006D1D74" w:rsidRDefault="00012BD5">
      <w:pPr>
        <w:numPr>
          <w:ilvl w:val="0"/>
          <w:numId w:val="2"/>
        </w:numPr>
        <w:ind w:hanging="1056"/>
      </w:pPr>
      <w:r>
        <w:t>Rozporządzenie Ministra zdrowia z dnia 11</w:t>
      </w:r>
      <w:r>
        <w:t xml:space="preserve"> czerwca 2012r.w w sprawie kategorii substancji niebezpiecznych i mieszaninie bezpiecznych, których opakowania wyposaża się w zamknięcia utrudniające otwarcie przez dzieci i wyczuwalne dotykiem ostrzeżenie o  niebezpieczeństwie (t.j. Dz. U. 2014, poz. 1604</w:t>
      </w:r>
      <w:r>
        <w:t>)</w:t>
      </w:r>
    </w:p>
    <w:p w:rsidR="006D1D74" w:rsidRDefault="00012BD5">
      <w:pPr>
        <w:numPr>
          <w:ilvl w:val="0"/>
          <w:numId w:val="2"/>
        </w:numPr>
        <w:ind w:hanging="1056"/>
      </w:pPr>
      <w:r>
        <w:t xml:space="preserve">Ustawa z dnia 14 grudnia 2012 r. o odpadach (t. j. Dz. U. 2019, poz. 701). </w:t>
      </w:r>
    </w:p>
    <w:p w:rsidR="006D1D74" w:rsidRDefault="00012BD5">
      <w:pPr>
        <w:numPr>
          <w:ilvl w:val="0"/>
          <w:numId w:val="2"/>
        </w:numPr>
        <w:ind w:hanging="1056"/>
      </w:pPr>
      <w:r>
        <w:t xml:space="preserve">Ustawa z dnia 13 czerwca 2013r o gospodarce opakowaniami i odpadami opakowaniowymi (t.j. DZ.U. 2019, poz. 542). </w:t>
      </w:r>
    </w:p>
    <w:p w:rsidR="006D1D74" w:rsidRDefault="00012BD5">
      <w:pPr>
        <w:numPr>
          <w:ilvl w:val="0"/>
          <w:numId w:val="2"/>
        </w:numPr>
        <w:ind w:hanging="1056"/>
      </w:pPr>
      <w:r>
        <w:t xml:space="preserve">Rozporządzenie Ministra Klimatu z dnia 3 stycznia 2020r w sprawie katalogu odpadów (DZ.U. poz. </w:t>
      </w:r>
    </w:p>
    <w:p w:rsidR="006D1D74" w:rsidRDefault="00012BD5">
      <w:pPr>
        <w:ind w:left="730"/>
      </w:pPr>
      <w:r>
        <w:t xml:space="preserve">10). </w:t>
      </w:r>
    </w:p>
    <w:p w:rsidR="006D1D74" w:rsidRDefault="00012BD5">
      <w:pPr>
        <w:numPr>
          <w:ilvl w:val="0"/>
          <w:numId w:val="2"/>
        </w:numPr>
        <w:ind w:hanging="1056"/>
      </w:pPr>
      <w:r>
        <w:t xml:space="preserve">Dyrektywa Parlamentu Europejskiego I Rady 2008/98/WE z dnia 19 listopada 2008 r. w sprawie odpadów oraz uchylająca niektóre dyrektywy. </w:t>
      </w:r>
    </w:p>
    <w:p w:rsidR="006D1D74" w:rsidRDefault="00012BD5">
      <w:pPr>
        <w:numPr>
          <w:ilvl w:val="0"/>
          <w:numId w:val="2"/>
        </w:numPr>
        <w:ind w:hanging="1056"/>
      </w:pPr>
      <w:r>
        <w:t>Obwieszczenie Mars</w:t>
      </w:r>
      <w:r>
        <w:t>załka Sejmu Rzeczypospolitej Polskiej z dnia 20 grudnia 2019 r. w sprawie ogłoszenia jednolitego tekstu ustawy o przewozie towarów niebezpiecznych (Dz. U. 2020 poz. 154)</w:t>
      </w:r>
    </w:p>
    <w:p w:rsidR="006D1D74" w:rsidRDefault="00012BD5">
      <w:pPr>
        <w:numPr>
          <w:ilvl w:val="0"/>
          <w:numId w:val="2"/>
        </w:numPr>
        <w:ind w:hanging="1056"/>
      </w:pPr>
      <w:r>
        <w:t>Umowa ADR 2019 - Oświadczenie rządowe z dnia 18 lutego 2019 r. w sprawie wejścia w życ</w:t>
      </w:r>
      <w:r>
        <w:t>ie zmian do załączników A i B do Umowy europejskiej dotyczącej międzynarodowego przewozu drogowego towarów niebezpiecznych (ADR), sporządzonej w Genewie dnia 30 września 1957 r. (Dz. U. poz. 769)</w:t>
      </w:r>
    </w:p>
    <w:p w:rsidR="006D1D74" w:rsidRDefault="00012BD5">
      <w:pPr>
        <w:numPr>
          <w:ilvl w:val="0"/>
          <w:numId w:val="2"/>
        </w:numPr>
        <w:ind w:hanging="1056"/>
      </w:pPr>
      <w:r>
        <w:t>Rozporządzenie Ministra Rodziny, Pracy i Polityki Społecznej</w:t>
      </w:r>
      <w:r>
        <w:t xml:space="preserve"> z dnia 12 czerwca 2018r w sprawie najwyższych dopuszczalnych stężeń i natężeń czynników szkodliwych dla zdrowia w środowisku pracy (DZ.U. poz.1286 z późń. zm.)</w:t>
      </w:r>
    </w:p>
    <w:p w:rsidR="006D1D74" w:rsidRDefault="00012BD5">
      <w:pPr>
        <w:numPr>
          <w:ilvl w:val="0"/>
          <w:numId w:val="2"/>
        </w:numPr>
        <w:ind w:hanging="1056"/>
      </w:pPr>
      <w:r>
        <w:t>Rozporządzenie Ministra Zdrowia z dnia 30 grudnia 2004r w sprawie bezpieczeństwa i higieny prac</w:t>
      </w:r>
      <w:r>
        <w:t>y związanej z występowaniem w miejscu pracy czynników chemicznych (t.j. Dz. U. 2016, poz. 1488)</w:t>
      </w:r>
    </w:p>
    <w:p w:rsidR="006D1D74" w:rsidRDefault="00012BD5">
      <w:pPr>
        <w:numPr>
          <w:ilvl w:val="0"/>
          <w:numId w:val="2"/>
        </w:numPr>
        <w:spacing w:after="225"/>
        <w:ind w:hanging="1056"/>
      </w:pPr>
      <w:r>
        <w:t xml:space="preserve">Rozporządzenie Ministra Środowiska z dnia 9 grudnia 2003r w sprawie substancji stwarzających szczególne zagrożenie dla środowiska (DZ.U. Nr 217, poz.2141). </w:t>
      </w:r>
    </w:p>
    <w:p w:rsidR="006D1D74" w:rsidRDefault="00012BD5">
      <w:pPr>
        <w:spacing w:after="14" w:line="237" w:lineRule="auto"/>
      </w:pPr>
      <w:r>
        <w:rPr>
          <w:b/>
        </w:rPr>
        <w:t>15.</w:t>
      </w:r>
      <w:r>
        <w:rPr>
          <w:b/>
        </w:rPr>
        <w:t>2 . Ocena bezpieczeństwa chemicznego</w:t>
      </w:r>
    </w:p>
    <w:p w:rsidR="006D1D74" w:rsidRDefault="00012BD5">
      <w:pPr>
        <w:spacing w:after="225"/>
      </w:pPr>
      <w:r>
        <w:t xml:space="preserve">Brak oceny bezpieczeństwa chemicznego dla mieszaniny. </w:t>
      </w:r>
    </w:p>
    <w:p w:rsidR="006D1D74" w:rsidRDefault="00012BD5">
      <w:pPr>
        <w:spacing w:after="225"/>
      </w:pPr>
      <w:r>
        <w:t>Załącznik XIV Rozp. REACH – Wykaz substancji podlegających procedurze udzielania zezwoleń: nie dotyczy</w:t>
      </w:r>
    </w:p>
    <w:p w:rsidR="006D1D74" w:rsidRDefault="00012BD5">
      <w:r>
        <w:lastRenderedPageBreak/>
        <w:t>Substancje SVHC - Lista kandydacka substancji stanowiących ba</w:t>
      </w:r>
      <w:r>
        <w:t>rdzo duże zagrożenie, oczekujących na pozwolenie:</w:t>
      </w:r>
    </w:p>
    <w:p w:rsidR="006D1D74" w:rsidRDefault="00012BD5">
      <w:pPr>
        <w:spacing w:after="225"/>
      </w:pPr>
      <w:r>
        <w:t>Nie dotyczy</w:t>
      </w:r>
    </w:p>
    <w:p w:rsidR="006D1D74" w:rsidRDefault="00012BD5">
      <w:pPr>
        <w:spacing w:after="255"/>
      </w:pPr>
      <w:r>
        <w:t>Załącznik XVII Rozp. REACH – Ograniczenia dotyczące produkcji , wprowadzania do obrotu i stosowania niektórych niebezpiecznych substancji, mieszanin i wyrobów: nie dotyczy</w:t>
      </w:r>
    </w:p>
    <w:p w:rsidR="006D1D74" w:rsidRDefault="00012BD5">
      <w:pPr>
        <w:pStyle w:val="Nagwek1"/>
      </w:pPr>
      <w:r>
        <w:t>SEKCJA 16: Inne inform</w:t>
      </w:r>
      <w:r>
        <w:t>acje</w:t>
      </w:r>
    </w:p>
    <w:p w:rsidR="006D1D74" w:rsidRDefault="00012BD5">
      <w:pPr>
        <w:spacing w:after="14" w:line="240" w:lineRule="auto"/>
      </w:pPr>
      <w:r>
        <w:rPr>
          <w:b/>
          <w:u w:val="single" w:color="000000"/>
        </w:rPr>
        <w:t>Zwroty H:</w:t>
      </w:r>
    </w:p>
    <w:p w:rsidR="006D1D74" w:rsidRDefault="00012BD5">
      <w:r>
        <w:rPr>
          <w:b/>
        </w:rPr>
        <w:t xml:space="preserve">H271 – </w:t>
      </w:r>
      <w:r>
        <w:t>Może spowodować pożar lub wybuch, silny utleniacz.</w:t>
      </w:r>
    </w:p>
    <w:p w:rsidR="006D1D74" w:rsidRDefault="00012BD5">
      <w:r>
        <w:rPr>
          <w:b/>
        </w:rPr>
        <w:t xml:space="preserve">H302 – </w:t>
      </w:r>
      <w:r>
        <w:t>Działa szkodliwie po połknięciu.</w:t>
      </w:r>
    </w:p>
    <w:p w:rsidR="006D1D74" w:rsidRDefault="00012BD5">
      <w:r>
        <w:rPr>
          <w:b/>
        </w:rPr>
        <w:t>H314</w:t>
      </w:r>
      <w:r>
        <w:t xml:space="preserve"> – Powoduje poważne oparzenia skóry oraz uszkodzenia oczu</w:t>
      </w:r>
    </w:p>
    <w:p w:rsidR="006D1D74" w:rsidRDefault="00012BD5">
      <w:r>
        <w:rPr>
          <w:b/>
        </w:rPr>
        <w:t xml:space="preserve">H315 – </w:t>
      </w:r>
      <w:r>
        <w:t>Działa drażniąco na skórę</w:t>
      </w:r>
    </w:p>
    <w:p w:rsidR="006D1D74" w:rsidRDefault="00012BD5">
      <w:r>
        <w:rPr>
          <w:b/>
        </w:rPr>
        <w:t xml:space="preserve">H318 – </w:t>
      </w:r>
      <w:r>
        <w:t>Powoduje poważne uszkodzenie oczu</w:t>
      </w:r>
    </w:p>
    <w:p w:rsidR="006D1D74" w:rsidRDefault="00012BD5">
      <w:r>
        <w:rPr>
          <w:b/>
        </w:rPr>
        <w:t>H319</w:t>
      </w:r>
      <w:r>
        <w:t xml:space="preserve"> – Działa drażniąco na oczy</w:t>
      </w:r>
    </w:p>
    <w:p w:rsidR="006D1D74" w:rsidRDefault="00012BD5">
      <w:r>
        <w:rPr>
          <w:b/>
        </w:rPr>
        <w:t xml:space="preserve">H332 – </w:t>
      </w:r>
      <w:r>
        <w:t>Działa szkodliwie w następstwie wdychania</w:t>
      </w:r>
    </w:p>
    <w:p w:rsidR="006D1D74" w:rsidRDefault="00012BD5">
      <w:r>
        <w:rPr>
          <w:b/>
        </w:rPr>
        <w:t xml:space="preserve">H412 </w:t>
      </w:r>
      <w:r>
        <w:t>– Działa szkodliwie na organizmy wodne, powodując długotrwałe skutki.</w:t>
      </w:r>
    </w:p>
    <w:p w:rsidR="006D1D74" w:rsidRDefault="00012BD5">
      <w:pPr>
        <w:spacing w:after="14" w:line="240" w:lineRule="auto"/>
      </w:pPr>
      <w:r>
        <w:rPr>
          <w:b/>
          <w:u w:val="single" w:color="000000"/>
        </w:rPr>
        <w:t>Opis użytych skrótów, akronimów i symboli:</w:t>
      </w:r>
    </w:p>
    <w:p w:rsidR="006D1D74" w:rsidRDefault="00012BD5">
      <w:r>
        <w:rPr>
          <w:b/>
        </w:rPr>
        <w:t>Ox. Liq. 1</w:t>
      </w:r>
      <w:r>
        <w:t xml:space="preserve"> – substancja ciekła utleniająca kat. 1</w:t>
      </w:r>
    </w:p>
    <w:p w:rsidR="006D1D74" w:rsidRDefault="00012BD5">
      <w:r>
        <w:rPr>
          <w:b/>
        </w:rPr>
        <w:t xml:space="preserve">Acute Tox. </w:t>
      </w:r>
      <w:r>
        <w:rPr>
          <w:b/>
        </w:rPr>
        <w:t>4</w:t>
      </w:r>
      <w:r>
        <w:t xml:space="preserve"> – toksyczność ostra kat.4</w:t>
      </w:r>
    </w:p>
    <w:p w:rsidR="006D1D74" w:rsidRDefault="00012BD5">
      <w:r>
        <w:rPr>
          <w:b/>
        </w:rPr>
        <w:t>Skin Corr. 1A</w:t>
      </w:r>
      <w:r>
        <w:t xml:space="preserve"> – działanie żrące na skórę kat. 1A</w:t>
      </w:r>
    </w:p>
    <w:p w:rsidR="006D1D74" w:rsidRDefault="00012BD5">
      <w:r>
        <w:rPr>
          <w:b/>
        </w:rPr>
        <w:t>Skin Irrit. 2</w:t>
      </w:r>
      <w:r>
        <w:t xml:space="preserve"> – działanie drażniące na skórę kat. 2</w:t>
      </w:r>
    </w:p>
    <w:p w:rsidR="006D1D74" w:rsidRDefault="00012BD5">
      <w:r>
        <w:rPr>
          <w:b/>
        </w:rPr>
        <w:t xml:space="preserve">Eye Dam.1 – </w:t>
      </w:r>
      <w:r>
        <w:t>poważne uszkodzenie oczu kat. 1</w:t>
      </w:r>
    </w:p>
    <w:p w:rsidR="006D1D74" w:rsidRDefault="00012BD5">
      <w:r>
        <w:rPr>
          <w:b/>
        </w:rPr>
        <w:t>Eye Irrit.2</w:t>
      </w:r>
      <w:r>
        <w:t xml:space="preserve"> – działanie drażniące na oczy kat. 2</w:t>
      </w:r>
    </w:p>
    <w:p w:rsidR="006D1D74" w:rsidRDefault="00012BD5">
      <w:r>
        <w:rPr>
          <w:b/>
        </w:rPr>
        <w:t xml:space="preserve">Aquatic Chronic 3 – </w:t>
      </w:r>
      <w:r>
        <w:t>stwarzające za</w:t>
      </w:r>
      <w:r>
        <w:t>grożenie dla środowiska wodnego kat.3</w:t>
      </w:r>
    </w:p>
    <w:p w:rsidR="006D1D74" w:rsidRDefault="00012BD5">
      <w:r>
        <w:rPr>
          <w:b/>
        </w:rPr>
        <w:t xml:space="preserve">NDS – </w:t>
      </w:r>
      <w:r>
        <w:t>Najwyższe Dopuszczalne Stężenie</w:t>
      </w:r>
    </w:p>
    <w:p w:rsidR="006D1D74" w:rsidRDefault="00012BD5">
      <w:r>
        <w:rPr>
          <w:b/>
        </w:rPr>
        <w:t xml:space="preserve">NDSCh – </w:t>
      </w:r>
      <w:r>
        <w:t>Najwyższe Dopuszczalne Stężenie Chwilowe</w:t>
      </w:r>
    </w:p>
    <w:p w:rsidR="006D1D74" w:rsidRDefault="00012BD5">
      <w:r>
        <w:rPr>
          <w:b/>
        </w:rPr>
        <w:t xml:space="preserve">NDSP – </w:t>
      </w:r>
      <w:r>
        <w:t>Najwyższe Dopuszczalne Stężenie Pułapowe</w:t>
      </w:r>
    </w:p>
    <w:p w:rsidR="006D1D74" w:rsidRDefault="00012BD5">
      <w:r>
        <w:rPr>
          <w:b/>
        </w:rPr>
        <w:t>DNEL</w:t>
      </w:r>
      <w:r>
        <w:t xml:space="preserve"> – Pochodny Poziom Niepowodujący Zmian</w:t>
      </w:r>
    </w:p>
    <w:p w:rsidR="006D1D74" w:rsidRDefault="00012BD5">
      <w:r>
        <w:rPr>
          <w:b/>
        </w:rPr>
        <w:t xml:space="preserve">PNEC – </w:t>
      </w:r>
      <w:r>
        <w:t xml:space="preserve">Przewidywane Stężenie Niepowodujące Zmian w Środowisku </w:t>
      </w:r>
    </w:p>
    <w:p w:rsidR="006D1D74" w:rsidRDefault="00012BD5">
      <w:r>
        <w:rPr>
          <w:b/>
        </w:rPr>
        <w:t xml:space="preserve">LD50 – (ang. </w:t>
      </w:r>
      <w:r>
        <w:rPr>
          <w:b/>
          <w:i/>
        </w:rPr>
        <w:t>lethal dose</w:t>
      </w:r>
      <w:r>
        <w:rPr>
          <w:b/>
        </w:rPr>
        <w:t xml:space="preserve">) </w:t>
      </w:r>
      <w:r>
        <w:t xml:space="preserve">– medialna dawka śmiertelna, statycznie wyznaczona wielkość pojedynczej dawki substancji, po podaniu której można oczekiwać śmierci 50 % narażonych organizmów testowych. </w:t>
      </w:r>
    </w:p>
    <w:p w:rsidR="006D1D74" w:rsidRDefault="00012BD5">
      <w:r>
        <w:rPr>
          <w:b/>
        </w:rPr>
        <w:t>LC5</w:t>
      </w:r>
      <w:r>
        <w:rPr>
          <w:b/>
        </w:rPr>
        <w:t xml:space="preserve">0 – (ang. </w:t>
      </w:r>
      <w:r>
        <w:rPr>
          <w:b/>
          <w:i/>
        </w:rPr>
        <w:t>lethal concentration</w:t>
      </w:r>
      <w:r>
        <w:rPr>
          <w:b/>
        </w:rPr>
        <w:t xml:space="preserve">) </w:t>
      </w:r>
      <w:r>
        <w:t>– medialne stężenie śmiertelne, statycznie wyznaczona wielkość stężenia substancji, po narażeniu na które można oczekiwać, że w czasie ekspozycji lub w trakcie określonego, umownego okresu po ekspozycji nastąpi zgon 50 % org</w:t>
      </w:r>
      <w:r>
        <w:t xml:space="preserve">anizmów narażonych na tę substancję. </w:t>
      </w:r>
    </w:p>
    <w:p w:rsidR="006D1D74" w:rsidRDefault="00012BD5">
      <w:r>
        <w:rPr>
          <w:b/>
        </w:rPr>
        <w:t xml:space="preserve">EC50 – (ang. </w:t>
      </w:r>
      <w:r>
        <w:rPr>
          <w:b/>
          <w:i/>
        </w:rPr>
        <w:t>effective concentration</w:t>
      </w:r>
      <w:r>
        <w:rPr>
          <w:b/>
        </w:rPr>
        <w:t xml:space="preserve">) </w:t>
      </w:r>
      <w:r>
        <w:t xml:space="preserve">– medialne stężenie skuteczne, statystycznie obliczone stężenie, które indukuje w medium środowiskowym określony efekt u 50 % organizmów doświadczalnych w określonych warunkach </w:t>
      </w:r>
      <w:r>
        <w:rPr>
          <w:b/>
        </w:rPr>
        <w:t>vPv</w:t>
      </w:r>
      <w:r>
        <w:rPr>
          <w:b/>
        </w:rPr>
        <w:t xml:space="preserve">B – </w:t>
      </w:r>
      <w:r>
        <w:t>Substancja bardzo trwała i wykazująca bardzo dużą zdolność do bioakumulacji</w:t>
      </w:r>
    </w:p>
    <w:p w:rsidR="006D1D74" w:rsidRDefault="00012BD5">
      <w:r>
        <w:rPr>
          <w:b/>
        </w:rPr>
        <w:t xml:space="preserve">PBT – </w:t>
      </w:r>
      <w:r>
        <w:t>substancje trwałe, wykazujące zdolność do bioakumulacji i toksyczne</w:t>
      </w:r>
    </w:p>
    <w:p w:rsidR="006D1D74" w:rsidRDefault="00012BD5">
      <w:r>
        <w:rPr>
          <w:b/>
        </w:rPr>
        <w:t xml:space="preserve">ADR – </w:t>
      </w:r>
      <w:r>
        <w:t>Europejskie porozumienie w sprawie transportu drogowego towarów niebezpiecznych</w:t>
      </w:r>
    </w:p>
    <w:p w:rsidR="006D1D74" w:rsidRDefault="00012BD5">
      <w:r>
        <w:rPr>
          <w:b/>
        </w:rPr>
        <w:t xml:space="preserve">RID – </w:t>
      </w:r>
      <w:r>
        <w:t>Rozporządz</w:t>
      </w:r>
      <w:r>
        <w:t>enie w sprawie przewozu towarów niebezpiecznych międzynarodowymi liniami kolejowymi</w:t>
      </w:r>
    </w:p>
    <w:p w:rsidR="006D1D74" w:rsidRDefault="00012BD5">
      <w:r>
        <w:rPr>
          <w:b/>
        </w:rPr>
        <w:t xml:space="preserve">IMDG – </w:t>
      </w:r>
      <w:r>
        <w:t>Międzynarodowy Morski Kodeks transportu towarów niebezpiecznych</w:t>
      </w:r>
    </w:p>
    <w:p w:rsidR="006D1D74" w:rsidRDefault="00012BD5">
      <w:pPr>
        <w:spacing w:after="225"/>
      </w:pPr>
      <w:r>
        <w:rPr>
          <w:b/>
        </w:rPr>
        <w:t xml:space="preserve">IATA – </w:t>
      </w:r>
      <w:r>
        <w:t>Rozporządzenie w sprawie transportu towarów niebezpiecznych wydane przez Zrzeszenie międzynaro</w:t>
      </w:r>
      <w:r>
        <w:t>dowego transportu lotniczego</w:t>
      </w:r>
    </w:p>
    <w:p w:rsidR="006D1D74" w:rsidRDefault="00012BD5">
      <w:pPr>
        <w:spacing w:after="14" w:line="237" w:lineRule="auto"/>
      </w:pPr>
      <w:r>
        <w:rPr>
          <w:b/>
        </w:rPr>
        <w:t xml:space="preserve">Podstawa klasyfikacji: </w:t>
      </w:r>
    </w:p>
    <w:p w:rsidR="006D1D74" w:rsidRDefault="00012BD5">
      <w:pPr>
        <w:spacing w:after="225"/>
      </w:pPr>
      <w:r>
        <w:t>Eye Irrit. 2; H319 – na podstawie zawartości składników (metoda obliczeniowa)</w:t>
      </w:r>
    </w:p>
    <w:p w:rsidR="006D1D74" w:rsidRDefault="00012BD5">
      <w:pPr>
        <w:spacing w:after="14" w:line="237" w:lineRule="auto"/>
      </w:pPr>
      <w:r>
        <w:rPr>
          <w:b/>
        </w:rPr>
        <w:t>Szkolenia:</w:t>
      </w:r>
    </w:p>
    <w:p w:rsidR="006D1D74" w:rsidRDefault="00012BD5">
      <w:pPr>
        <w:spacing w:after="225"/>
      </w:pPr>
      <w:r>
        <w:t>Nie są wymagane</w:t>
      </w:r>
    </w:p>
    <w:p w:rsidR="006D1D74" w:rsidRDefault="00012BD5">
      <w:pPr>
        <w:spacing w:after="0" w:line="240" w:lineRule="auto"/>
        <w:ind w:left="0" w:right="0" w:firstLine="0"/>
      </w:pPr>
      <w:r>
        <w:rPr>
          <w:b/>
          <w:i/>
          <w:u w:val="single" w:color="000000"/>
        </w:rPr>
        <w:t>MATERIAŁY ŹRÓDŁOWE</w:t>
      </w:r>
    </w:p>
    <w:p w:rsidR="006D1D74" w:rsidRDefault="00012BD5">
      <w:pPr>
        <w:spacing w:after="225"/>
        <w:ind w:right="4517"/>
      </w:pPr>
      <w:r>
        <w:t>Załącznik do Rozporządzenia (UE) 2015/830 z dnia 28 maja 2015r. Przepisy prawne przytoczone w sekcji 15 karty Informacje Biura do Spraw Substancji Chemicznych.</w:t>
      </w:r>
    </w:p>
    <w:p w:rsidR="006D1D74" w:rsidRDefault="00012BD5">
      <w:pPr>
        <w:spacing w:after="0" w:line="234" w:lineRule="auto"/>
        <w:ind w:right="4"/>
        <w:jc w:val="both"/>
      </w:pPr>
      <w:r>
        <w:t>Informacje zawarte w karcie charakterystyki dotyczą wyłącznie produktu wymienionego w tytule. Da</w:t>
      </w:r>
      <w:r>
        <w:t xml:space="preserve">ne zawarte w karcie należy traktować wyłącznie jako pomoc dla bezpiecznego stosowania produktu </w:t>
      </w:r>
      <w:r>
        <w:rPr>
          <w:b/>
        </w:rPr>
        <w:t xml:space="preserve">Power Wash żel antybakteryjny do </w:t>
      </w:r>
      <w:r>
        <w:rPr>
          <w:b/>
        </w:rPr>
        <w:lastRenderedPageBreak/>
        <w:t>dezynfekcji rąk.</w:t>
      </w:r>
      <w:r>
        <w:t xml:space="preserve"> Ponieważ warunki magazynowania, transportu i stosowania są poza naszą kontrolą, nie mogą stanowić gwarancji w s</w:t>
      </w:r>
      <w:r>
        <w:t>ensie prawnym. W każdym przypadku należy przestrzegać przepisów ustawowych i ewentualnych praw osób trzecich. Karta nie stanowi oszacowania zagrożeń w miejscu pracy. Produktu nie należy wykorzystywać do innych celów niż podane w sekcji 1 bez uprzedniej kon</w:t>
      </w:r>
      <w:r>
        <w:t>sultacji z producentem.</w:t>
      </w:r>
    </w:p>
    <w:sectPr w:rsidR="006D1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712" w:bottom="807" w:left="722" w:header="293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D5" w:rsidRDefault="00012BD5">
      <w:pPr>
        <w:spacing w:after="0" w:line="240" w:lineRule="auto"/>
      </w:pPr>
      <w:r>
        <w:separator/>
      </w:r>
    </w:p>
  </w:endnote>
  <w:endnote w:type="continuationSeparator" w:id="0">
    <w:p w:rsidR="00012BD5" w:rsidRDefault="0001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4" w:rsidRDefault="00012BD5">
    <w:pPr>
      <w:spacing w:after="3" w:line="276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10210800</wp:posOffset>
              </wp:positionV>
              <wp:extent cx="6645910" cy="5080"/>
              <wp:effectExtent l="0" t="0" r="0" b="0"/>
              <wp:wrapSquare wrapText="bothSides"/>
              <wp:docPr id="8898" name="Group 8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910" cy="5080"/>
                        <a:chOff x="0" y="0"/>
                        <a:chExt cx="6645910" cy="5080"/>
                      </a:xfrm>
                    </wpg:grpSpPr>
                    <wps:wsp>
                      <wps:cNvPr id="9776" name="Shape 9776"/>
                      <wps:cNvSpPr/>
                      <wps:spPr>
                        <a:xfrm>
                          <a:off x="0" y="0"/>
                          <a:ext cx="66459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5910" h="9144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  <a:lnTo>
                                <a:pt x="66459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1829CB" id="Group 8898" o:spid="_x0000_s1026" style="position:absolute;margin-left:36pt;margin-top:804pt;width:523.3pt;height:.4pt;z-index:251661312;mso-position-horizontal-relative:page;mso-position-vertical-relative:page" coordsize="6645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">
              <v:shape id="Shape 9776" o:spid="_x0000_s1027" style="position:absolute;width:66459;height:91;visibility:visible;mso-wrap-style:square;v-text-anchor:top" coordsize="66459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RClcYA&#10;AADdAAAADwAAAGRycy9kb3ducmV2LnhtbESPT2sCMRTE74LfITzBm2Zbi3+2RhGLYg+WqsXzY/O6&#10;u7h5CZvobr+9EQoeh5n5DTNftqYSN6p9aVnByzABQZxZXXKu4Oe0GUxB+ICssbJMCv7Iw3LR7cwx&#10;1bbhA92OIRcRwj5FBUUILpXSZwUZ9EPriKP3a2uDIco6l7rGJsJNJV+TZCwNlhwXCnS0Lii7HK9G&#10;wfk6+tg7+/n1tj1/r+3INdtmlyvV77WrdxCB2vAM/7d3WsFsMhnD401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RClcYAAADdAAAADwAAAAAAAAAAAAAAAACYAgAAZHJz&#10;L2Rvd25yZXYueG1sUEsFBgAAAAAEAAQA9QAAAIsDAAAAAA==&#10;" path="m,l6645910,r,9144l,9144,,e" fillcolor="black" stroked="f" strokeweight="0">
                <v:stroke miterlimit="83231f" joinstyle="miter"/>
                <v:path arrowok="t" textboxrect="0,0,6645910,9144"/>
              </v:shape>
              <w10:wrap type="square" anchorx="page" anchory="page"/>
            </v:group>
          </w:pict>
        </mc:Fallback>
      </mc:AlternateContent>
    </w:r>
  </w:p>
  <w:p w:rsidR="006D1D74" w:rsidRDefault="00012BD5">
    <w:pPr>
      <w:spacing w:after="0" w:line="240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</w:rPr>
      <w:t>8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4" w:rsidRDefault="00012BD5">
    <w:pPr>
      <w:spacing w:after="3" w:line="276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10210800</wp:posOffset>
              </wp:positionV>
              <wp:extent cx="6645910" cy="5080"/>
              <wp:effectExtent l="0" t="0" r="0" b="0"/>
              <wp:wrapSquare wrapText="bothSides"/>
              <wp:docPr id="8864" name="Group 88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910" cy="5080"/>
                        <a:chOff x="0" y="0"/>
                        <a:chExt cx="6645910" cy="5080"/>
                      </a:xfrm>
                    </wpg:grpSpPr>
                    <wps:wsp>
                      <wps:cNvPr id="9775" name="Shape 9775"/>
                      <wps:cNvSpPr/>
                      <wps:spPr>
                        <a:xfrm>
                          <a:off x="0" y="0"/>
                          <a:ext cx="66459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5910" h="9144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  <a:lnTo>
                                <a:pt x="66459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88A28" id="Group 8864" o:spid="_x0000_s1026" style="position:absolute;margin-left:36pt;margin-top:804pt;width:523.3pt;height:.4pt;z-index:251662336;mso-position-horizontal-relative:page;mso-position-vertical-relative:page" coordsize="6645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">
              <v:shape id="Shape 9775" o:spid="_x0000_s1027" style="position:absolute;width:66459;height:91;visibility:visible;mso-wrap-style:square;v-text-anchor:top" coordsize="66459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c4sYA&#10;AADdAAAADwAAAGRycy9kb3ducmV2LnhtbESPQWsCMRSE74L/ITzBm2atWtutUYqi6MHS2uL5sXnd&#10;Xdy8hE10t/++EQSPw8x8w8yXranElWpfWlYwGiYgiDOrS84V/HxvBi8gfEDWWFkmBX/kYbnoduaY&#10;atvwF12PIRcRwj5FBUUILpXSZwUZ9EPriKP3a2uDIco6l7rGJsJNJZ+S5FkaLDkuFOhoVVB2Pl6M&#10;gtNlvD44u/+YbE+fKzt2zbbZ5Ur1e+37G4hAbXiE7+2dVvA6m03h9iY+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bc4sYAAADdAAAADwAAAAAAAAAAAAAAAACYAgAAZHJz&#10;L2Rvd25yZXYueG1sUEsFBgAAAAAEAAQA9QAAAIsDAAAAAA==&#10;" path="m,l6645910,r,9144l,9144,,e" fillcolor="black" stroked="f" strokeweight="0">
                <v:stroke miterlimit="83231f" joinstyle="miter"/>
                <v:path arrowok="t" textboxrect="0,0,6645910,9144"/>
              </v:shape>
              <w10:wrap type="square" anchorx="page" anchory="page"/>
            </v:group>
          </w:pict>
        </mc:Fallback>
      </mc:AlternateContent>
    </w:r>
  </w:p>
  <w:p w:rsidR="006D1D74" w:rsidRDefault="00012BD5">
    <w:pPr>
      <w:spacing w:after="0" w:line="240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D5726B" w:rsidRPr="00D5726B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="00D5726B" w:rsidRPr="00D5726B">
      <w:rPr>
        <w:rFonts w:ascii="Calibri" w:eastAsia="Calibri" w:hAnsi="Calibri" w:cs="Calibri"/>
        <w:noProof/>
      </w:rPr>
      <w:t>9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4" w:rsidRDefault="00012BD5">
    <w:pPr>
      <w:spacing w:after="3" w:line="276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10210800</wp:posOffset>
              </wp:positionV>
              <wp:extent cx="6645910" cy="5080"/>
              <wp:effectExtent l="0" t="0" r="0" b="0"/>
              <wp:wrapSquare wrapText="bothSides"/>
              <wp:docPr id="8830" name="Group 8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910" cy="5080"/>
                        <a:chOff x="0" y="0"/>
                        <a:chExt cx="6645910" cy="5080"/>
                      </a:xfrm>
                    </wpg:grpSpPr>
                    <wps:wsp>
                      <wps:cNvPr id="9774" name="Shape 9774"/>
                      <wps:cNvSpPr/>
                      <wps:spPr>
                        <a:xfrm>
                          <a:off x="0" y="0"/>
                          <a:ext cx="66459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45910" h="9144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  <a:lnTo>
                                <a:pt x="66459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1BFD37" id="Group 8830" o:spid="_x0000_s1026" style="position:absolute;margin-left:36pt;margin-top:804pt;width:523.3pt;height:.4pt;z-index:251663360;mso-position-horizontal-relative:page;mso-position-vertical-relative:page" coordsize="6645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">
              <v:shape id="Shape 9774" o:spid="_x0000_s1027" style="position:absolute;width:66459;height:91;visibility:visible;mso-wrap-style:square;v-text-anchor:top" coordsize="66459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5eccA&#10;AADdAAAADwAAAGRycy9kb3ducmV2LnhtbESPW2sCMRSE34X+h3AKfdOsVbysRimWin2w1As+HzbH&#10;3aWbk7CJ7vrvTUHwcZiZb5j5sjWVuFLtS8sK+r0EBHFmdcm5guPhqzsB4QOyxsoyKbiRh+XipTPH&#10;VNuGd3Tdh1xECPsUFRQhuFRKnxVk0PesI47e2dYGQ5R1LnWNTYSbSr4nyUgaLDkuFOhoVVD2t78Y&#10;BafL4HPr7PfPcH36XdmBa9bNJlfq7bX9mIEI1IZn+NHeaAXT8XgI/2/i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KeXnHAAAA3QAAAA8AAAAAAAAAAAAAAAAAmAIAAGRy&#10;cy9kb3ducmV2LnhtbFBLBQYAAAAABAAEAPUAAACMAwAAAAA=&#10;" path="m,l6645910,r,9144l,9144,,e" fillcolor="black" stroked="f" strokeweight="0">
                <v:stroke miterlimit="83231f" joinstyle="miter"/>
                <v:path arrowok="t" textboxrect="0,0,6645910,9144"/>
              </v:shape>
              <w10:wrap type="square" anchorx="page" anchory="page"/>
            </v:group>
          </w:pict>
        </mc:Fallback>
      </mc:AlternateContent>
    </w:r>
  </w:p>
  <w:p w:rsidR="006D1D74" w:rsidRDefault="00012BD5">
    <w:pPr>
      <w:spacing w:after="0" w:line="240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</w:rPr>
      <w:t>8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D5" w:rsidRDefault="00012BD5">
      <w:pPr>
        <w:spacing w:after="0" w:line="240" w:lineRule="auto"/>
      </w:pPr>
      <w:r>
        <w:separator/>
      </w:r>
    </w:p>
  </w:footnote>
  <w:footnote w:type="continuationSeparator" w:id="0">
    <w:p w:rsidR="00012BD5" w:rsidRDefault="0001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4" w:rsidRDefault="00012BD5">
    <w:pPr>
      <w:spacing w:after="0" w:line="240" w:lineRule="auto"/>
      <w:ind w:left="0" w:right="0" w:firstLine="0"/>
    </w:pPr>
    <w:r>
      <w:rPr>
        <w:b/>
        <w:i/>
        <w:sz w:val="24"/>
      </w:rPr>
      <w:t xml:space="preserve"> KARTA CHARAKTERYSTYKI </w:t>
    </w:r>
  </w:p>
  <w:p w:rsidR="006D1D74" w:rsidRDefault="00012BD5">
    <w:pPr>
      <w:spacing w:after="0" w:line="240" w:lineRule="auto"/>
      <w:ind w:left="4248" w:right="0" w:firstLine="0"/>
    </w:pPr>
    <w:r>
      <w:rPr>
        <w:b/>
        <w:i/>
        <w:sz w:val="8"/>
      </w:rPr>
      <w:t xml:space="preserve">        </w:t>
    </w:r>
  </w:p>
  <w:p w:rsidR="006D1D74" w:rsidRDefault="00012BD5">
    <w:pPr>
      <w:spacing w:after="0" w:line="240" w:lineRule="auto"/>
      <w:ind w:left="0" w:right="0" w:firstLine="0"/>
      <w:jc w:val="center"/>
    </w:pPr>
    <w:r>
      <w:rPr>
        <w:b/>
        <w:i/>
        <w:sz w:val="26"/>
      </w:rPr>
      <w:t xml:space="preserve">Power Wash żel antybakteryjny do dezynfekcji rąk </w:t>
    </w:r>
  </w:p>
  <w:p w:rsidR="006D1D74" w:rsidRDefault="00012BD5">
    <w:pPr>
      <w:spacing w:after="0" w:line="240" w:lineRule="auto"/>
      <w:ind w:left="0" w:right="0" w:firstLine="0"/>
    </w:pPr>
    <w:r>
      <w:rPr>
        <w:sz w:val="16"/>
        <w:u w:val="single" w:color="000000"/>
      </w:rPr>
      <w:t xml:space="preserve">DATA SPORZĄDZENIA  30.03.2020 </w:t>
    </w:r>
  </w:p>
  <w:p w:rsidR="006D1D74" w:rsidRDefault="00012BD5">
    <w:pPr>
      <w:spacing w:after="41" w:line="240" w:lineRule="auto"/>
      <w:ind w:left="0" w:right="0" w:firstLine="0"/>
    </w:pPr>
    <w:r>
      <w:rPr>
        <w:sz w:val="16"/>
      </w:rPr>
      <w:t xml:space="preserve">Wersja PL: 1.0 </w:t>
    </w:r>
  </w:p>
  <w:p w:rsidR="006D1D74" w:rsidRDefault="00012BD5">
    <w:pPr>
      <w:spacing w:after="0" w:line="240" w:lineRule="auto"/>
      <w:ind w:left="0" w:right="0" w:firstLine="0"/>
      <w:jc w:val="center"/>
    </w:pPr>
    <w:r>
      <w:rPr>
        <w:b/>
        <w:i/>
        <w:sz w:val="16"/>
      </w:rPr>
      <w:t xml:space="preserve">Karta Charakterystyki jest zgodna z Rozporządzeniem WE 1907/2006 z 18.12.2006 – REACH oraz 2015/830 z 28.05.2015r. </w:t>
    </w:r>
  </w:p>
  <w:p w:rsidR="006D1D74" w:rsidRDefault="00012B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893" name="Group 8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EB31A05" id="Group 8893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CnRax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4" w:rsidRDefault="00012BD5">
    <w:pPr>
      <w:spacing w:after="0" w:line="240" w:lineRule="auto"/>
      <w:ind w:left="0" w:right="0" w:firstLine="0"/>
    </w:pPr>
    <w:r>
      <w:rPr>
        <w:b/>
        <w:i/>
        <w:sz w:val="24"/>
      </w:rPr>
      <w:t xml:space="preserve"> KARTA CHARAKTERYSTYKI </w:t>
    </w:r>
  </w:p>
  <w:p w:rsidR="006D1D74" w:rsidRDefault="00012BD5">
    <w:pPr>
      <w:spacing w:after="0" w:line="240" w:lineRule="auto"/>
      <w:ind w:left="4248" w:right="0" w:firstLine="0"/>
    </w:pPr>
    <w:r>
      <w:rPr>
        <w:b/>
        <w:i/>
        <w:sz w:val="8"/>
      </w:rPr>
      <w:t xml:space="preserve">        </w:t>
    </w:r>
  </w:p>
  <w:p w:rsidR="006D1D74" w:rsidRDefault="00012BD5">
    <w:pPr>
      <w:spacing w:after="0" w:line="240" w:lineRule="auto"/>
      <w:ind w:left="0" w:right="0" w:firstLine="0"/>
      <w:jc w:val="center"/>
    </w:pPr>
    <w:r>
      <w:rPr>
        <w:b/>
        <w:i/>
        <w:sz w:val="26"/>
      </w:rPr>
      <w:t xml:space="preserve">Power Wash żel antybakteryjny do dezynfekcji rąk </w:t>
    </w:r>
  </w:p>
  <w:p w:rsidR="006D1D74" w:rsidRDefault="00012BD5">
    <w:pPr>
      <w:spacing w:after="0" w:line="240" w:lineRule="auto"/>
      <w:ind w:left="0" w:right="0" w:firstLine="0"/>
    </w:pPr>
    <w:r>
      <w:rPr>
        <w:sz w:val="16"/>
        <w:u w:val="single" w:color="000000"/>
      </w:rPr>
      <w:t xml:space="preserve">DATA SPORZĄDZENIA  30.03.2020 </w:t>
    </w:r>
  </w:p>
  <w:p w:rsidR="006D1D74" w:rsidRDefault="00012BD5">
    <w:pPr>
      <w:spacing w:after="41" w:line="240" w:lineRule="auto"/>
      <w:ind w:left="0" w:right="0" w:firstLine="0"/>
    </w:pPr>
    <w:r>
      <w:rPr>
        <w:sz w:val="16"/>
      </w:rPr>
      <w:t xml:space="preserve">Wersja PL: 1.0 </w:t>
    </w:r>
  </w:p>
  <w:p w:rsidR="006D1D74" w:rsidRDefault="00012BD5">
    <w:pPr>
      <w:spacing w:after="0" w:line="240" w:lineRule="auto"/>
      <w:ind w:left="0" w:right="0" w:firstLine="0"/>
      <w:jc w:val="center"/>
    </w:pPr>
    <w:r>
      <w:rPr>
        <w:b/>
        <w:i/>
        <w:sz w:val="16"/>
      </w:rPr>
      <w:t>Karta Ch</w:t>
    </w:r>
    <w:r>
      <w:rPr>
        <w:b/>
        <w:i/>
        <w:sz w:val="16"/>
      </w:rPr>
      <w:t xml:space="preserve">arakterystyki jest zgodna z Rozporządzeniem WE 1907/2006 z 18.12.2006 – REACH oraz 2015/830 z 28.05.2015r. </w:t>
    </w:r>
  </w:p>
  <w:p w:rsidR="006D1D74" w:rsidRDefault="00012B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859" name="Group 8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4FB3B0D" id="Group 885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lBLDP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4" w:rsidRDefault="00012BD5">
    <w:pPr>
      <w:spacing w:after="0" w:line="240" w:lineRule="auto"/>
      <w:ind w:left="0" w:right="0" w:firstLine="0"/>
    </w:pPr>
    <w:r>
      <w:rPr>
        <w:b/>
        <w:i/>
        <w:sz w:val="24"/>
      </w:rPr>
      <w:t xml:space="preserve"> KARTA CHARAKTERYSTYKI </w:t>
    </w:r>
  </w:p>
  <w:p w:rsidR="006D1D74" w:rsidRDefault="00012BD5">
    <w:pPr>
      <w:spacing w:after="0" w:line="240" w:lineRule="auto"/>
      <w:ind w:left="4248" w:right="0" w:firstLine="0"/>
    </w:pPr>
    <w:r>
      <w:rPr>
        <w:b/>
        <w:i/>
        <w:sz w:val="8"/>
      </w:rPr>
      <w:t xml:space="preserve">        </w:t>
    </w:r>
  </w:p>
  <w:p w:rsidR="006D1D74" w:rsidRDefault="00012BD5">
    <w:pPr>
      <w:spacing w:after="0" w:line="240" w:lineRule="auto"/>
      <w:ind w:left="0" w:right="0" w:firstLine="0"/>
      <w:jc w:val="center"/>
    </w:pPr>
    <w:r>
      <w:rPr>
        <w:b/>
        <w:i/>
        <w:sz w:val="26"/>
      </w:rPr>
      <w:t xml:space="preserve">Power Wash żel antybakteryjny do dezynfekcji rąk </w:t>
    </w:r>
  </w:p>
  <w:p w:rsidR="006D1D74" w:rsidRDefault="00012BD5">
    <w:pPr>
      <w:spacing w:after="0" w:line="240" w:lineRule="auto"/>
      <w:ind w:left="0" w:right="0" w:firstLine="0"/>
    </w:pPr>
    <w:r>
      <w:rPr>
        <w:sz w:val="16"/>
        <w:u w:val="single" w:color="000000"/>
      </w:rPr>
      <w:t xml:space="preserve">DATA SPORZĄDZENIA  30.03.2020 </w:t>
    </w:r>
  </w:p>
  <w:p w:rsidR="006D1D74" w:rsidRDefault="00012BD5">
    <w:pPr>
      <w:spacing w:after="41" w:line="240" w:lineRule="auto"/>
      <w:ind w:left="0" w:right="0" w:firstLine="0"/>
    </w:pPr>
    <w:r>
      <w:rPr>
        <w:sz w:val="16"/>
      </w:rPr>
      <w:t xml:space="preserve">Wersja PL: 1.0 </w:t>
    </w:r>
  </w:p>
  <w:p w:rsidR="006D1D74" w:rsidRDefault="00012BD5">
    <w:pPr>
      <w:spacing w:after="0" w:line="240" w:lineRule="auto"/>
      <w:ind w:left="0" w:right="0" w:firstLine="0"/>
      <w:jc w:val="center"/>
    </w:pPr>
    <w:r>
      <w:rPr>
        <w:b/>
        <w:i/>
        <w:sz w:val="16"/>
      </w:rPr>
      <w:t>Karta Charaktery</w:t>
    </w:r>
    <w:r>
      <w:rPr>
        <w:b/>
        <w:i/>
        <w:sz w:val="16"/>
      </w:rPr>
      <w:t xml:space="preserve">styki jest zgodna z Rozporządzeniem WE 1907/2006 z 18.12.2006 – REACH oraz 2015/830 z 28.05.2015r. </w:t>
    </w:r>
  </w:p>
  <w:p w:rsidR="006D1D74" w:rsidRDefault="00012BD5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825" name="Group 8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269CBB" id="Group 8825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Twfyv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0003"/>
    <w:multiLevelType w:val="hybridMultilevel"/>
    <w:tmpl w:val="4D760A48"/>
    <w:lvl w:ilvl="0" w:tplc="D9E83E34">
      <w:start w:val="1"/>
      <w:numFmt w:val="lowerLetter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72AE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2B9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640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AC87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4FF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78AD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8836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62F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1B169F"/>
    <w:multiLevelType w:val="hybridMultilevel"/>
    <w:tmpl w:val="08948DD4"/>
    <w:lvl w:ilvl="0" w:tplc="8288F96C">
      <w:start w:val="1"/>
      <w:numFmt w:val="decimal"/>
      <w:lvlText w:val="%1.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02054">
      <w:start w:val="1"/>
      <w:numFmt w:val="lowerLetter"/>
      <w:lvlText w:val="%2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903A46">
      <w:start w:val="1"/>
      <w:numFmt w:val="lowerRoman"/>
      <w:lvlText w:val="%3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F87CD4">
      <w:start w:val="1"/>
      <w:numFmt w:val="decimal"/>
      <w:lvlText w:val="%4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166FC0">
      <w:start w:val="1"/>
      <w:numFmt w:val="lowerLetter"/>
      <w:lvlText w:val="%5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4842E">
      <w:start w:val="1"/>
      <w:numFmt w:val="lowerRoman"/>
      <w:lvlText w:val="%6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E61C0">
      <w:start w:val="1"/>
      <w:numFmt w:val="decimal"/>
      <w:lvlText w:val="%7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A1C36">
      <w:start w:val="1"/>
      <w:numFmt w:val="lowerLetter"/>
      <w:lvlText w:val="%8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DA8F4C">
      <w:start w:val="1"/>
      <w:numFmt w:val="lowerRoman"/>
      <w:lvlText w:val="%9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74"/>
    <w:rsid w:val="00012BD5"/>
    <w:rsid w:val="006D1D74"/>
    <w:rsid w:val="00D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ACFFB-02B2-4254-9DAE-8094AAA2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43" w:lineRule="auto"/>
      <w:ind w:left="-5" w:right="-15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hd w:val="clear" w:color="auto" w:fill="EEECE1"/>
      <w:spacing w:after="258" w:line="246" w:lineRule="auto"/>
      <w:ind w:left="85" w:right="-1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2777</Words>
  <Characters>16664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Lorentz</cp:lastModifiedBy>
  <cp:revision>2</cp:revision>
  <dcterms:created xsi:type="dcterms:W3CDTF">2020-03-31T09:22:00Z</dcterms:created>
  <dcterms:modified xsi:type="dcterms:W3CDTF">2020-03-31T09:22:00Z</dcterms:modified>
</cp:coreProperties>
</file>